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jc w:val="left"/>
        <w:rPr>
          <w:rFonts w:ascii="黑体" w:eastAsia="黑体" w:hAnsi="黑体" w:cs="黑体" w:hint="eastAsia"/>
          <w:snapToGrid w:val="0"/>
          <w:sz w:val="32"/>
          <w:szCs w:val="32"/>
          <w:lang w:val="en-US" w:eastAsia="zh-CN"/>
        </w:rPr>
      </w:pPr>
      <w:r>
        <w:rPr>
          <w:rFonts w:ascii="黑体" w:eastAsia="黑体" w:hAnsi="黑体" w:cs="黑体" w:hint="eastAsia"/>
          <w:snapToGrid w:val="0"/>
          <w:sz w:val="32"/>
          <w:szCs w:val="32"/>
        </w:rPr>
        <w:t>附件</w:t>
      </w:r>
      <w:r>
        <w:rPr>
          <w:rFonts w:ascii="黑体" w:eastAsia="黑体" w:hAnsi="黑体" w:cs="黑体" w:hint="eastAsia"/>
          <w:snapToGrid w:val="0"/>
          <w:sz w:val="32"/>
          <w:szCs w:val="32"/>
          <w:lang w:val="en-US" w:eastAsia="zh-CN"/>
        </w:rPr>
        <w:t>4</w:t>
      </w:r>
    </w:p>
    <w:p>
      <w:pPr>
        <w:jc w:val="left"/>
        <w:rPr>
          <w:rFonts w:ascii="黑体" w:eastAsia="黑体" w:hAnsi="黑体" w:cs="黑体" w:hint="eastAsia"/>
          <w:snapToGrid w:val="0"/>
          <w:sz w:val="32"/>
          <w:szCs w:val="32"/>
          <w:lang w:val="en-US" w:eastAsia="zh-CN"/>
        </w:rPr>
      </w:pPr>
    </w:p>
    <w:p>
      <w:pPr>
        <w:spacing w:line="720" w:lineRule="exact"/>
        <w:jc w:val="center"/>
        <w:rPr>
          <w:rFonts w:ascii="Times New Roman" w:eastAsia="方正小标宋简体" w:hAnsi="Times New Roman" w:cs="Times New Roman" w:hint="default"/>
          <w:snapToGrid w:val="0"/>
          <w:sz w:val="44"/>
          <w:szCs w:val="44"/>
        </w:rPr>
      </w:pPr>
      <w:r>
        <w:rPr>
          <w:rFonts w:ascii="Times New Roman" w:eastAsia="方正小标宋简体" w:hAnsi="Times New Roman" w:cs="Times New Roman" w:hint="default"/>
          <w:snapToGrid w:val="0"/>
          <w:sz w:val="44"/>
          <w:szCs w:val="44"/>
        </w:rPr>
        <w:t>绿色供应链管理评价要求</w:t>
      </w:r>
    </w:p>
    <w:p>
      <w:pPr>
        <w:rPr>
          <w:rFonts w:ascii="Times New Roman" w:hAnsi="Times New Roman" w:cs="Times New Roman" w:hint="default"/>
          <w:snapToGrid w:val="0"/>
          <w:sz w:val="32"/>
          <w:szCs w:val="32"/>
        </w:rPr>
      </w:pPr>
    </w:p>
    <w:p>
      <w:pPr>
        <w:ind w:firstLine="474" w:firstLineChars="148"/>
        <w:rPr>
          <w:rFonts w:ascii="Times New Roman" w:eastAsia="黑体" w:hAnsi="Times New Roman" w:cs="Times New Roman" w:hint="default"/>
          <w:bCs/>
          <w:snapToGrid w:val="0"/>
          <w:sz w:val="32"/>
          <w:szCs w:val="32"/>
        </w:rPr>
      </w:pPr>
      <w:r>
        <w:rPr>
          <w:rFonts w:ascii="Times New Roman" w:eastAsia="黑体" w:hAnsi="Times New Roman" w:cs="Times New Roman" w:hint="default"/>
          <w:bCs/>
          <w:snapToGrid w:val="0"/>
          <w:sz w:val="32"/>
          <w:szCs w:val="32"/>
        </w:rPr>
        <w:t>一、总则</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（一）定义、目的及范围</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绿色供应链是将环境保护和资源节约的理念贯穿于企业从产品设计到原材料采购、生产、运输、储存、销售、使用和报废处理的全过程，使企业的经济活动与环境保护相协调的上下游供应关系。</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绿色供应链管理范围：按照产品生命周期要求，对设计、采购、生产、物流、回收等业务流程进行管理，其中涉及供应商、制造企业、物流商、销售商、最终用户以及回收、拆解等企业的协作。</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（二）基本要求</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1、具有独立法人资格；</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2、具有较强的行业影响力；</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3、具有较完善的能源资源、环境管理体系，各项管理制度健全，符合国家和地方的法律法规及标准规范要求，近三年无重大安全和环境污染事故；</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4、拥有数量众多的供应商，在供应商中有很强的影响力，与上下游供应商建立良好的合作关系；</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5、有完善的供应商管理体系，建立健全的供应商认证、选择、审核、绩效管理和退出机制；</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6、有健全的财务管理制度，销售盈利能力处于行业领先水平；</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7、对实施绿色供应链管理有明确的工作目标、思路、计划和措施。</w:t>
      </w:r>
    </w:p>
    <w:p>
      <w:pPr>
        <w:ind w:firstLine="474" w:firstLineChars="148"/>
        <w:rPr>
          <w:rFonts w:ascii="Times New Roman" w:eastAsia="黑体" w:hAnsi="Times New Roman" w:cs="Times New Roman" w:hint="default"/>
          <w:bCs/>
          <w:snapToGrid w:val="0"/>
          <w:sz w:val="32"/>
          <w:szCs w:val="32"/>
        </w:rPr>
      </w:pPr>
      <w:r>
        <w:rPr>
          <w:rFonts w:ascii="Times New Roman" w:eastAsia="黑体" w:hAnsi="Times New Roman" w:cs="Times New Roman" w:hint="default"/>
          <w:bCs/>
          <w:snapToGrid w:val="0"/>
          <w:sz w:val="32"/>
          <w:szCs w:val="32"/>
        </w:rPr>
        <w:t>二、企业绿色供应链管理关键环节</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（一）确立可持续的绿色供应链管理战略</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（二）实施绿色供应商管理</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w:t>
      </w:r>
      <w:r>
        <w:rPr>
          <w:rFonts w:ascii="Times New Roman" w:eastAsia="仿宋_GB2312" w:hAnsi="Times New Roman" w:cs="Times New Roman" w:hint="default"/>
          <w:snapToGrid w:val="0"/>
          <w:sz w:val="32"/>
          <w:szCs w:val="32"/>
          <w:lang w:val="en-US" w:eastAsia="zh-CN"/>
        </w:rPr>
        <w:t>材料</w:t>
      </w:r>
      <w:r>
        <w:rPr>
          <w:rFonts w:ascii="Times New Roman" w:eastAsia="仿宋_GB2312" w:hAnsi="Times New Roman" w:cs="Times New Roman" w:hint="default"/>
          <w:snapToGrid w:val="0"/>
          <w:sz w:val="32"/>
          <w:szCs w:val="32"/>
        </w:rPr>
        <w:t>和包装材料用量、用更环保的材料替代，避免或减少环境污染。定期对供应商进行培训和技术支持，传递客户和其他利益相关者的环境要求，帮助供应商将要求融入业务之中并逐级传递。</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（三）强化绿色生产</w:t>
      </w:r>
    </w:p>
    <w:p>
      <w:pPr>
        <w:ind w:firstLine="474" w:firstLineChars="148"/>
        <w:outlineLvl w:val="0"/>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企业要建立基于产品全生命周期的绿色设计理念，整合环境数据资源，建立基础过程和产品数据库，构建评价模型，在研发设计阶段开展全生命周期（LCA）评价。不断提升绿色技术创新能力，采用先进适用的工艺技术与设备，减少或者避免生产过程中污染物的产生和排放。积极参与国际相关技术规范标准的制定，促进业界绿色生产水平提升，引领行业变革。</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（四）建设绿色回收体系</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（五）搭建绿色信息收集监测披露平台</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bCs/>
          <w:snapToGrid w:val="0"/>
          <w:sz w:val="32"/>
          <w:szCs w:val="32"/>
        </w:rPr>
        <w:t>企业要建立能源消耗在线监测体系和</w:t>
      </w:r>
      <w:bookmarkStart w:id="0" w:name="OLE_LINK2"/>
      <w:bookmarkStart w:id="1" w:name="OLE_LINK1"/>
      <w:r>
        <w:rPr>
          <w:rFonts w:ascii="Times New Roman" w:eastAsia="仿宋_GB2312" w:hAnsi="Times New Roman" w:cs="Times New Roman" w:hint="default"/>
          <w:bCs/>
          <w:snapToGrid w:val="0"/>
          <w:sz w:val="32"/>
          <w:szCs w:val="32"/>
        </w:rPr>
        <w:t>减排监测数据库</w:t>
      </w:r>
      <w:bookmarkEnd w:id="0"/>
      <w:bookmarkEnd w:id="1"/>
      <w:r>
        <w:rPr>
          <w:rFonts w:ascii="Times New Roman" w:eastAsia="仿宋_GB2312" w:hAnsi="Times New Roman" w:cs="Times New Roman" w:hint="default"/>
          <w:bCs/>
          <w:snapToGrid w:val="0"/>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ind w:firstLine="474" w:firstLineChars="148"/>
        <w:rPr>
          <w:rFonts w:ascii="Times New Roman" w:eastAsia="黑体" w:hAnsi="Times New Roman" w:cs="Times New Roman" w:hint="default"/>
          <w:bCs/>
          <w:snapToGrid w:val="0"/>
          <w:sz w:val="32"/>
          <w:szCs w:val="32"/>
        </w:rPr>
      </w:pPr>
      <w:r>
        <w:rPr>
          <w:rFonts w:ascii="Times New Roman" w:eastAsia="黑体" w:hAnsi="Times New Roman" w:cs="Times New Roman" w:hint="default"/>
          <w:bCs/>
          <w:snapToGrid w:val="0"/>
          <w:sz w:val="32"/>
          <w:szCs w:val="32"/>
        </w:rPr>
        <w:t>三、企业绿色供应链管理评价方法</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（一）评价方式</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1、企业绿色供应链管理评价由第三方组织实施。</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2、第三方根据绿色供应链管理关键环节，按照评价标准对企业进行实地调查，查阅相关文件、报表、数据等，确保评价结果客观准确。</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（二）评价指标体系</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绿色供应链管理评价指标体系包括绿色供应链管理战略指标、绿色供应商管理指标、绿色生产指标、绿色回收指标、绿色信息平台建设指标、绿色信息披露指标6个方面。具体如表1所示。</w:t>
      </w:r>
    </w:p>
    <w:p>
      <w:pPr>
        <w:ind w:firstLine="640" w:firstLineChars="200"/>
        <w:jc w:val="center"/>
        <w:rPr>
          <w:rFonts w:ascii="Times New Roman" w:eastAsia="仿宋_GB2312" w:hAnsi="Times New Roman" w:cs="Times New Roman" w:hint="default"/>
          <w:snapToGrid w:val="0"/>
          <w:sz w:val="32"/>
          <w:szCs w:val="32"/>
        </w:rPr>
      </w:pPr>
    </w:p>
    <w:p>
      <w:pPr>
        <w:ind w:firstLine="640" w:firstLineChars="200"/>
        <w:jc w:val="center"/>
        <w:rPr>
          <w:rFonts w:ascii="Times New Roman" w:eastAsia="仿宋_GB2312" w:hAnsi="Times New Roman" w:cs="Times New Roman" w:hint="default"/>
          <w:snapToGrid w:val="0"/>
          <w:sz w:val="32"/>
          <w:szCs w:val="32"/>
        </w:rPr>
      </w:pPr>
    </w:p>
    <w:p>
      <w:pPr>
        <w:ind w:firstLine="1260" w:firstLineChars="450"/>
        <w:jc w:val="both"/>
        <w:rPr>
          <w:rFonts w:ascii="Times New Roman" w:eastAsia="黑体" w:hAnsi="Times New Roman" w:cs="Times New Roman" w:hint="default"/>
          <w:snapToGrid w:val="0"/>
          <w:sz w:val="28"/>
          <w:szCs w:val="28"/>
        </w:rPr>
      </w:pPr>
      <w:r>
        <w:rPr>
          <w:rFonts w:ascii="Times New Roman" w:eastAsia="黑体" w:hAnsi="Times New Roman" w:cs="Times New Roman" w:hint="default"/>
          <w:snapToGrid w:val="0"/>
          <w:sz w:val="28"/>
          <w:szCs w:val="28"/>
        </w:rPr>
        <w:t>表1  企业绿色供应链管理评价指标体系</w:t>
      </w:r>
    </w:p>
    <w:tbl>
      <w:tblPr>
        <w:tblStyle w:val="TableNormal"/>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180"/>
        <w:gridCol w:w="728"/>
        <w:gridCol w:w="3601"/>
        <w:gridCol w:w="719"/>
        <w:gridCol w:w="840"/>
        <w:gridCol w:w="1454"/>
      </w:tblGrid>
      <w:tr>
        <w:tblPrEx>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blHeader/>
        </w:trPr>
        <w:tc>
          <w:tcPr>
            <w:tcW w:w="118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一级指标</w:t>
            </w:r>
          </w:p>
        </w:tc>
        <w:tc>
          <w:tcPr>
            <w:tcW w:w="728"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序号</w:t>
            </w:r>
          </w:p>
        </w:tc>
        <w:tc>
          <w:tcPr>
            <w:tcW w:w="3601"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二级指标</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单位</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最高分值</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指标类型</w:t>
            </w:r>
          </w:p>
        </w:tc>
      </w:tr>
      <w:tr>
        <w:tblPrEx>
          <w:tblW w:w="8522" w:type="dxa"/>
          <w:tblLayout w:type="fixed"/>
          <w:tblCellMar>
            <w:top w:w="0" w:type="dxa"/>
            <w:left w:w="108" w:type="dxa"/>
            <w:bottom w:w="0" w:type="dxa"/>
            <w:right w:w="108" w:type="dxa"/>
          </w:tblCellMar>
          <w:tblLook w:val="0000"/>
        </w:tblPrEx>
        <w:tc>
          <w:tcPr>
            <w:tcW w:w="1180" w:type="dxa"/>
            <w:vMerge w:val="restart"/>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绿色供应链管理</w:t>
            </w:r>
          </w:p>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战略X1</w:t>
            </w:r>
          </w:p>
        </w:tc>
        <w:tc>
          <w:tcPr>
            <w:tcW w:w="728" w:type="dxa"/>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1</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纳入公司发展规划X11</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8</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r>
        <w:tblPrEx>
          <w:tblW w:w="8522" w:type="dxa"/>
          <w:tblLayout w:type="fixed"/>
          <w:tblCellMar>
            <w:top w:w="0" w:type="dxa"/>
            <w:left w:w="108" w:type="dxa"/>
            <w:bottom w:w="0" w:type="dxa"/>
            <w:right w:w="108" w:type="dxa"/>
          </w:tblCellMar>
          <w:tblLook w:val="0000"/>
        </w:tblPrEx>
        <w:tc>
          <w:tcPr>
            <w:tcW w:w="1180" w:type="dxa"/>
            <w:vMerge/>
            <w:vAlign w:val="center"/>
          </w:tcPr>
          <w:p>
            <w:pPr>
              <w:jc w:val="center"/>
              <w:rPr>
                <w:rFonts w:ascii="仿宋_GB2312" w:eastAsia="仿宋_GB2312" w:hAnsi="仿宋_GB2312" w:cs="仿宋_GB2312" w:hint="eastAsia"/>
                <w:snapToGrid w:val="0"/>
                <w:sz w:val="24"/>
              </w:rPr>
            </w:pPr>
          </w:p>
        </w:tc>
        <w:tc>
          <w:tcPr>
            <w:tcW w:w="728" w:type="dxa"/>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2</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制定绿色供应链管理目标X12</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6</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r>
        <w:tblPrEx>
          <w:tblW w:w="8522" w:type="dxa"/>
          <w:tblLayout w:type="fixed"/>
          <w:tblCellMar>
            <w:top w:w="0" w:type="dxa"/>
            <w:left w:w="108" w:type="dxa"/>
            <w:bottom w:w="0" w:type="dxa"/>
            <w:right w:w="108" w:type="dxa"/>
          </w:tblCellMar>
          <w:tblLook w:val="0000"/>
        </w:tblPrEx>
        <w:tc>
          <w:tcPr>
            <w:tcW w:w="1180" w:type="dxa"/>
            <w:vMerge/>
            <w:vAlign w:val="center"/>
          </w:tcPr>
          <w:p>
            <w:pPr>
              <w:rPr>
                <w:rFonts w:ascii="仿宋_GB2312" w:eastAsia="仿宋_GB2312" w:hAnsi="仿宋_GB2312" w:cs="仿宋_GB2312" w:hint="eastAsia"/>
                <w:snapToGrid w:val="0"/>
                <w:sz w:val="24"/>
              </w:rPr>
            </w:pPr>
          </w:p>
        </w:tc>
        <w:tc>
          <w:tcPr>
            <w:tcW w:w="728" w:type="dxa"/>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3</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设置专门管理机构X13</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6</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r>
        <w:tblPrEx>
          <w:tblW w:w="8522" w:type="dxa"/>
          <w:tblLayout w:type="fixed"/>
          <w:tblCellMar>
            <w:top w:w="0" w:type="dxa"/>
            <w:left w:w="108" w:type="dxa"/>
            <w:bottom w:w="0" w:type="dxa"/>
            <w:right w:w="108" w:type="dxa"/>
          </w:tblCellMar>
          <w:tblLook w:val="0000"/>
        </w:tblPrEx>
        <w:tc>
          <w:tcPr>
            <w:tcW w:w="1180" w:type="dxa"/>
            <w:vMerge w:val="restart"/>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实施绿色供应商</w:t>
            </w:r>
          </w:p>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管理X2</w:t>
            </w:r>
          </w:p>
        </w:tc>
        <w:tc>
          <w:tcPr>
            <w:tcW w:w="728" w:type="dxa"/>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4</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绿色采购标准制度完善X21</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4</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r>
        <w:tblPrEx>
          <w:tblW w:w="8522" w:type="dxa"/>
          <w:tblLayout w:type="fixed"/>
          <w:tblCellMar>
            <w:top w:w="0" w:type="dxa"/>
            <w:left w:w="108" w:type="dxa"/>
            <w:bottom w:w="0" w:type="dxa"/>
            <w:right w:w="108" w:type="dxa"/>
          </w:tblCellMar>
          <w:tblLook w:val="0000"/>
        </w:tblPrEx>
        <w:tc>
          <w:tcPr>
            <w:tcW w:w="1180" w:type="dxa"/>
            <w:vMerge/>
            <w:vAlign w:val="center"/>
          </w:tcPr>
          <w:p>
            <w:pPr>
              <w:jc w:val="center"/>
              <w:rPr>
                <w:rFonts w:ascii="仿宋_GB2312" w:eastAsia="仿宋_GB2312" w:hAnsi="仿宋_GB2312" w:cs="仿宋_GB2312" w:hint="eastAsia"/>
                <w:snapToGrid w:val="0"/>
                <w:sz w:val="24"/>
              </w:rPr>
            </w:pPr>
          </w:p>
        </w:tc>
        <w:tc>
          <w:tcPr>
            <w:tcW w:w="728" w:type="dxa"/>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5</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供应商认证体系完善X22</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3</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r>
        <w:tblPrEx>
          <w:tblW w:w="8522" w:type="dxa"/>
          <w:tblLayout w:type="fixed"/>
          <w:tblCellMar>
            <w:top w:w="0" w:type="dxa"/>
            <w:left w:w="108" w:type="dxa"/>
            <w:bottom w:w="0" w:type="dxa"/>
            <w:right w:w="108" w:type="dxa"/>
          </w:tblCellMar>
          <w:tblLook w:val="0000"/>
        </w:tblPrEx>
        <w:tc>
          <w:tcPr>
            <w:tcW w:w="1180" w:type="dxa"/>
            <w:vMerge/>
            <w:vAlign w:val="center"/>
          </w:tcPr>
          <w:p>
            <w:pPr>
              <w:rPr>
                <w:rFonts w:ascii="仿宋_GB2312" w:eastAsia="仿宋_GB2312" w:hAnsi="仿宋_GB2312" w:cs="仿宋_GB2312" w:hint="eastAsia"/>
                <w:snapToGrid w:val="0"/>
                <w:sz w:val="24"/>
              </w:rPr>
            </w:pPr>
          </w:p>
        </w:tc>
        <w:tc>
          <w:tcPr>
            <w:tcW w:w="728" w:type="dxa"/>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6</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对供应商定期审核X23</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3</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r>
        <w:tblPrEx>
          <w:tblW w:w="8522" w:type="dxa"/>
          <w:tblLayout w:type="fixed"/>
          <w:tblCellMar>
            <w:top w:w="0" w:type="dxa"/>
            <w:left w:w="108" w:type="dxa"/>
            <w:bottom w:w="0" w:type="dxa"/>
            <w:right w:w="108" w:type="dxa"/>
          </w:tblCellMar>
          <w:tblLook w:val="0000"/>
        </w:tblPrEx>
        <w:tc>
          <w:tcPr>
            <w:tcW w:w="1180" w:type="dxa"/>
            <w:vMerge/>
            <w:vAlign w:val="center"/>
          </w:tcPr>
          <w:p>
            <w:pPr>
              <w:rPr>
                <w:rFonts w:ascii="仿宋_GB2312" w:eastAsia="仿宋_GB2312" w:hAnsi="仿宋_GB2312" w:cs="仿宋_GB2312" w:hint="eastAsia"/>
                <w:snapToGrid w:val="0"/>
                <w:sz w:val="24"/>
              </w:rPr>
            </w:pPr>
          </w:p>
        </w:tc>
        <w:tc>
          <w:tcPr>
            <w:tcW w:w="728" w:type="dxa"/>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7</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供应商绩效评估制度健全X24</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3</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r>
        <w:tblPrEx>
          <w:tblW w:w="8522" w:type="dxa"/>
          <w:tblLayout w:type="fixed"/>
          <w:tblCellMar>
            <w:top w:w="0" w:type="dxa"/>
            <w:left w:w="108" w:type="dxa"/>
            <w:bottom w:w="0" w:type="dxa"/>
            <w:right w:w="108" w:type="dxa"/>
          </w:tblCellMar>
          <w:tblLook w:val="0000"/>
        </w:tblPrEx>
        <w:tc>
          <w:tcPr>
            <w:tcW w:w="1180" w:type="dxa"/>
            <w:vMerge/>
            <w:vAlign w:val="center"/>
          </w:tcPr>
          <w:p>
            <w:pPr>
              <w:rPr>
                <w:rFonts w:ascii="仿宋_GB2312" w:eastAsia="仿宋_GB2312" w:hAnsi="仿宋_GB2312" w:cs="仿宋_GB2312" w:hint="eastAsia"/>
                <w:snapToGrid w:val="0"/>
                <w:sz w:val="24"/>
              </w:rPr>
            </w:pPr>
          </w:p>
        </w:tc>
        <w:tc>
          <w:tcPr>
            <w:tcW w:w="728" w:type="dxa"/>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8</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定期对供应商进行培训X25</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3</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r>
        <w:tblPrEx>
          <w:tblW w:w="8522" w:type="dxa"/>
          <w:tblLayout w:type="fixed"/>
          <w:tblCellMar>
            <w:top w:w="0" w:type="dxa"/>
            <w:left w:w="108" w:type="dxa"/>
            <w:bottom w:w="0" w:type="dxa"/>
            <w:right w:w="108" w:type="dxa"/>
          </w:tblCellMar>
          <w:tblLook w:val="0000"/>
        </w:tblPrEx>
        <w:tc>
          <w:tcPr>
            <w:tcW w:w="1180" w:type="dxa"/>
            <w:vMerge/>
            <w:vAlign w:val="center"/>
          </w:tcPr>
          <w:p>
            <w:pPr>
              <w:rPr>
                <w:rFonts w:ascii="仿宋_GB2312" w:eastAsia="仿宋_GB2312" w:hAnsi="仿宋_GB2312" w:cs="仿宋_GB2312" w:hint="eastAsia"/>
                <w:snapToGrid w:val="0"/>
                <w:sz w:val="24"/>
              </w:rPr>
            </w:pPr>
          </w:p>
        </w:tc>
        <w:tc>
          <w:tcPr>
            <w:tcW w:w="728" w:type="dxa"/>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9</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低风险供应商占比X26</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4</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定量</w:t>
            </w:r>
          </w:p>
        </w:tc>
      </w:tr>
      <w:tr>
        <w:tblPrEx>
          <w:tblW w:w="8522" w:type="dxa"/>
          <w:tblLayout w:type="fixed"/>
          <w:tblCellMar>
            <w:top w:w="0" w:type="dxa"/>
            <w:left w:w="108" w:type="dxa"/>
            <w:bottom w:w="0" w:type="dxa"/>
            <w:right w:w="108" w:type="dxa"/>
          </w:tblCellMar>
          <w:tblLook w:val="0000"/>
        </w:tblPrEx>
        <w:tc>
          <w:tcPr>
            <w:tcW w:w="1180" w:type="dxa"/>
            <w:vMerge w:val="restart"/>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绿色生产X3</w:t>
            </w:r>
          </w:p>
        </w:tc>
        <w:tc>
          <w:tcPr>
            <w:tcW w:w="728" w:type="dxa"/>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10</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节能减排环保合规X31</w:t>
            </w:r>
          </w:p>
        </w:tc>
        <w:tc>
          <w:tcPr>
            <w:tcW w:w="719" w:type="dxa"/>
            <w:vAlign w:val="center"/>
          </w:tcPr>
          <w:p>
            <w:pPr>
              <w:jc w:val="center"/>
              <w:rPr>
                <w:rFonts w:ascii="仿宋_GB2312" w:eastAsia="仿宋_GB2312" w:hAnsi="仿宋_GB2312" w:cs="仿宋_GB2312" w:hint="eastAsia"/>
                <w:snapToGrid w:val="0"/>
                <w:sz w:val="24"/>
              </w:rPr>
            </w:pP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10</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r>
        <w:tblPrEx>
          <w:tblW w:w="8522" w:type="dxa"/>
          <w:tblLayout w:type="fixed"/>
          <w:tblCellMar>
            <w:top w:w="0" w:type="dxa"/>
            <w:left w:w="108" w:type="dxa"/>
            <w:bottom w:w="0" w:type="dxa"/>
            <w:right w:w="108" w:type="dxa"/>
          </w:tblCellMar>
          <w:tblLook w:val="0000"/>
        </w:tblPrEx>
        <w:trPr>
          <w:trHeight w:val="1236"/>
        </w:trPr>
        <w:tc>
          <w:tcPr>
            <w:tcW w:w="1180" w:type="dxa"/>
            <w:vMerge/>
            <w:vAlign w:val="center"/>
          </w:tcPr>
          <w:p>
            <w:pPr>
              <w:rPr>
                <w:rFonts w:ascii="仿宋_GB2312" w:eastAsia="仿宋_GB2312" w:hAnsi="仿宋_GB2312" w:cs="仿宋_GB2312" w:hint="eastAsia"/>
                <w:snapToGrid w:val="0"/>
                <w:sz w:val="24"/>
              </w:rPr>
            </w:pPr>
          </w:p>
        </w:tc>
        <w:tc>
          <w:tcPr>
            <w:tcW w:w="728"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11</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符合有害物质限制使用管理办法X32</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10</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r>
        <w:tblPrEx>
          <w:tblW w:w="8522" w:type="dxa"/>
          <w:tblLayout w:type="fixed"/>
          <w:tblCellMar>
            <w:top w:w="0" w:type="dxa"/>
            <w:left w:w="108" w:type="dxa"/>
            <w:bottom w:w="0" w:type="dxa"/>
            <w:right w:w="108" w:type="dxa"/>
          </w:tblCellMar>
          <w:tblLook w:val="0000"/>
        </w:tblPrEx>
        <w:tc>
          <w:tcPr>
            <w:tcW w:w="1180" w:type="dxa"/>
            <w:vMerge w:val="restart"/>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绿色回收X4</w:t>
            </w:r>
          </w:p>
        </w:tc>
        <w:tc>
          <w:tcPr>
            <w:tcW w:w="728"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12</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产品回收率X41</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5</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定量</w:t>
            </w:r>
          </w:p>
        </w:tc>
      </w:tr>
      <w:tr>
        <w:tblPrEx>
          <w:tblW w:w="8522" w:type="dxa"/>
          <w:tblLayout w:type="fixed"/>
          <w:tblCellMar>
            <w:top w:w="0" w:type="dxa"/>
            <w:left w:w="108" w:type="dxa"/>
            <w:bottom w:w="0" w:type="dxa"/>
            <w:right w:w="108" w:type="dxa"/>
          </w:tblCellMar>
          <w:tblLook w:val="0000"/>
        </w:tblPrEx>
        <w:tc>
          <w:tcPr>
            <w:tcW w:w="1180" w:type="dxa"/>
            <w:vMerge/>
            <w:vAlign w:val="center"/>
          </w:tcPr>
          <w:p>
            <w:pPr>
              <w:jc w:val="center"/>
              <w:rPr>
                <w:rFonts w:ascii="仿宋_GB2312" w:eastAsia="仿宋_GB2312" w:hAnsi="仿宋_GB2312" w:cs="仿宋_GB2312" w:hint="eastAsia"/>
                <w:snapToGrid w:val="0"/>
                <w:sz w:val="24"/>
              </w:rPr>
            </w:pPr>
          </w:p>
        </w:tc>
        <w:tc>
          <w:tcPr>
            <w:tcW w:w="728"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13</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包装回收率X42</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5</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定量</w:t>
            </w:r>
          </w:p>
        </w:tc>
      </w:tr>
      <w:tr>
        <w:tblPrEx>
          <w:tblW w:w="8522" w:type="dxa"/>
          <w:tblLayout w:type="fixed"/>
          <w:tblCellMar>
            <w:top w:w="0" w:type="dxa"/>
            <w:left w:w="108" w:type="dxa"/>
            <w:bottom w:w="0" w:type="dxa"/>
            <w:right w:w="108" w:type="dxa"/>
          </w:tblCellMar>
          <w:tblLook w:val="0000"/>
        </w:tblPrEx>
        <w:tc>
          <w:tcPr>
            <w:tcW w:w="1180" w:type="dxa"/>
            <w:vMerge/>
            <w:vAlign w:val="center"/>
          </w:tcPr>
          <w:p>
            <w:pPr>
              <w:jc w:val="center"/>
              <w:rPr>
                <w:rFonts w:ascii="仿宋_GB2312" w:eastAsia="仿宋_GB2312" w:hAnsi="仿宋_GB2312" w:cs="仿宋_GB2312" w:hint="eastAsia"/>
                <w:snapToGrid w:val="0"/>
                <w:sz w:val="24"/>
              </w:rPr>
            </w:pPr>
          </w:p>
        </w:tc>
        <w:tc>
          <w:tcPr>
            <w:tcW w:w="728"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14</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回收体系完善（含自建、与第三方联合回收）X43</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5</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r>
        <w:tblPrEx>
          <w:tblW w:w="8522" w:type="dxa"/>
          <w:tblLayout w:type="fixed"/>
          <w:tblCellMar>
            <w:top w:w="0" w:type="dxa"/>
            <w:left w:w="108" w:type="dxa"/>
            <w:bottom w:w="0" w:type="dxa"/>
            <w:right w:w="108" w:type="dxa"/>
          </w:tblCellMar>
          <w:tblLook w:val="0000"/>
        </w:tblPrEx>
        <w:trPr>
          <w:trHeight w:val="574"/>
        </w:trPr>
        <w:tc>
          <w:tcPr>
            <w:tcW w:w="1180" w:type="dxa"/>
            <w:vMerge/>
            <w:vAlign w:val="center"/>
          </w:tcPr>
          <w:p>
            <w:pPr>
              <w:jc w:val="center"/>
              <w:rPr>
                <w:rFonts w:ascii="仿宋_GB2312" w:eastAsia="仿宋_GB2312" w:hAnsi="仿宋_GB2312" w:cs="仿宋_GB2312" w:hint="eastAsia"/>
                <w:snapToGrid w:val="0"/>
                <w:sz w:val="24"/>
              </w:rPr>
            </w:pPr>
          </w:p>
        </w:tc>
        <w:tc>
          <w:tcPr>
            <w:tcW w:w="728"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15</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指导下游企业回收拆解X44</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p>
            <w:pPr>
              <w:jc w:val="center"/>
              <w:rPr>
                <w:rFonts w:ascii="仿宋_GB2312" w:eastAsia="仿宋_GB2312" w:hAnsi="仿宋_GB2312" w:cs="仿宋_GB2312" w:hint="eastAsia"/>
                <w:snapToGrid w:val="0"/>
                <w:sz w:val="24"/>
              </w:rPr>
            </w:pP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5</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r>
        <w:tblPrEx>
          <w:tblW w:w="8522" w:type="dxa"/>
          <w:tblLayout w:type="fixed"/>
          <w:tblCellMar>
            <w:top w:w="0" w:type="dxa"/>
            <w:left w:w="108" w:type="dxa"/>
            <w:bottom w:w="0" w:type="dxa"/>
            <w:right w:w="108" w:type="dxa"/>
          </w:tblCellMar>
          <w:tblLook w:val="0000"/>
        </w:tblPrEx>
        <w:trPr>
          <w:trHeight w:val="906"/>
        </w:trPr>
        <w:tc>
          <w:tcPr>
            <w:tcW w:w="118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绿色信息平台建设X5</w:t>
            </w:r>
          </w:p>
        </w:tc>
        <w:tc>
          <w:tcPr>
            <w:tcW w:w="728"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16</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绿色供应链管理信息平台完善X51</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10</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r>
        <w:tblPrEx>
          <w:tblW w:w="8522" w:type="dxa"/>
          <w:tblLayout w:type="fixed"/>
          <w:tblCellMar>
            <w:top w:w="0" w:type="dxa"/>
            <w:left w:w="108" w:type="dxa"/>
            <w:bottom w:w="0" w:type="dxa"/>
            <w:right w:w="108" w:type="dxa"/>
          </w:tblCellMar>
          <w:tblLook w:val="0000"/>
        </w:tblPrEx>
        <w:trPr>
          <w:trHeight w:val="906"/>
        </w:trPr>
        <w:tc>
          <w:tcPr>
            <w:tcW w:w="1180" w:type="dxa"/>
            <w:vMerge w:val="restart"/>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绿色信息披露X6</w:t>
            </w:r>
          </w:p>
        </w:tc>
        <w:tc>
          <w:tcPr>
            <w:tcW w:w="728"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17</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披露企业节能减排减碳信息X61</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2.5</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r>
        <w:tblPrEx>
          <w:tblW w:w="8522" w:type="dxa"/>
          <w:tblLayout w:type="fixed"/>
          <w:tblCellMar>
            <w:top w:w="0" w:type="dxa"/>
            <w:left w:w="108" w:type="dxa"/>
            <w:bottom w:w="0" w:type="dxa"/>
            <w:right w:w="108" w:type="dxa"/>
          </w:tblCellMar>
          <w:tblLook w:val="0000"/>
        </w:tblPrEx>
        <w:trPr>
          <w:trHeight w:val="762"/>
        </w:trPr>
        <w:tc>
          <w:tcPr>
            <w:tcW w:w="1180" w:type="dxa"/>
            <w:vMerge/>
            <w:vAlign w:val="center"/>
          </w:tcPr>
          <w:p>
            <w:pPr>
              <w:jc w:val="center"/>
              <w:rPr>
                <w:rFonts w:ascii="仿宋_GB2312" w:eastAsia="仿宋_GB2312" w:hAnsi="仿宋_GB2312" w:cs="仿宋_GB2312" w:hint="eastAsia"/>
                <w:snapToGrid w:val="0"/>
                <w:sz w:val="24"/>
              </w:rPr>
            </w:pPr>
          </w:p>
        </w:tc>
        <w:tc>
          <w:tcPr>
            <w:tcW w:w="728"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18</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披露高、中风险供应商审核率及低风险供应商占比X62</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2.5</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r>
        <w:tblPrEx>
          <w:tblW w:w="8522" w:type="dxa"/>
          <w:tblLayout w:type="fixed"/>
          <w:tblCellMar>
            <w:top w:w="0" w:type="dxa"/>
            <w:left w:w="108" w:type="dxa"/>
            <w:bottom w:w="0" w:type="dxa"/>
            <w:right w:w="108" w:type="dxa"/>
          </w:tblCellMar>
          <w:tblLook w:val="0000"/>
        </w:tblPrEx>
        <w:trPr>
          <w:trHeight w:val="623"/>
        </w:trPr>
        <w:tc>
          <w:tcPr>
            <w:tcW w:w="1180" w:type="dxa"/>
            <w:vMerge/>
            <w:vAlign w:val="center"/>
          </w:tcPr>
          <w:p>
            <w:pPr>
              <w:jc w:val="center"/>
              <w:rPr>
                <w:rFonts w:ascii="仿宋_GB2312" w:eastAsia="仿宋_GB2312" w:hAnsi="仿宋_GB2312" w:cs="仿宋_GB2312" w:hint="eastAsia"/>
                <w:snapToGrid w:val="0"/>
                <w:sz w:val="24"/>
              </w:rPr>
            </w:pPr>
          </w:p>
        </w:tc>
        <w:tc>
          <w:tcPr>
            <w:tcW w:w="728"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19</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披露供应商节能减排信息X63</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2.5</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r>
        <w:tblPrEx>
          <w:tblW w:w="8522" w:type="dxa"/>
          <w:tblLayout w:type="fixed"/>
          <w:tblCellMar>
            <w:top w:w="0" w:type="dxa"/>
            <w:left w:w="108" w:type="dxa"/>
            <w:bottom w:w="0" w:type="dxa"/>
            <w:right w:w="108" w:type="dxa"/>
          </w:tblCellMar>
          <w:tblLook w:val="0000"/>
        </w:tblPrEx>
        <w:trPr>
          <w:trHeight w:val="623"/>
        </w:trPr>
        <w:tc>
          <w:tcPr>
            <w:tcW w:w="1180" w:type="dxa"/>
            <w:vMerge/>
            <w:vAlign w:val="center"/>
          </w:tcPr>
          <w:p>
            <w:pPr>
              <w:jc w:val="center"/>
              <w:rPr>
                <w:rFonts w:ascii="仿宋_GB2312" w:eastAsia="仿宋_GB2312" w:hAnsi="仿宋_GB2312" w:cs="仿宋_GB2312" w:hint="eastAsia"/>
                <w:snapToGrid w:val="0"/>
                <w:sz w:val="24"/>
              </w:rPr>
            </w:pPr>
          </w:p>
        </w:tc>
        <w:tc>
          <w:tcPr>
            <w:tcW w:w="728"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20</w:t>
            </w:r>
          </w:p>
        </w:tc>
        <w:tc>
          <w:tcPr>
            <w:tcW w:w="3601" w:type="dxa"/>
            <w:vAlign w:val="center"/>
          </w:tcPr>
          <w:p>
            <w:pP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发布企业社会责任报告（含绿色采购信息）X64</w:t>
            </w:r>
          </w:p>
        </w:tc>
        <w:tc>
          <w:tcPr>
            <w:tcW w:w="719"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w:t>
            </w:r>
          </w:p>
        </w:tc>
        <w:tc>
          <w:tcPr>
            <w:tcW w:w="840"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2.5</w:t>
            </w:r>
          </w:p>
        </w:tc>
        <w:tc>
          <w:tcPr>
            <w:tcW w:w="1454" w:type="dxa"/>
            <w:vAlign w:val="center"/>
          </w:tcPr>
          <w:p>
            <w:pPr>
              <w:jc w:val="center"/>
              <w:rPr>
                <w:rFonts w:ascii="仿宋_GB2312" w:eastAsia="仿宋_GB2312" w:hAnsi="仿宋_GB2312" w:cs="仿宋_GB2312" w:hint="eastAsia"/>
                <w:snapToGrid w:val="0"/>
                <w:sz w:val="24"/>
              </w:rPr>
            </w:pPr>
            <w:r>
              <w:rPr>
                <w:rFonts w:ascii="仿宋_GB2312" w:eastAsia="仿宋_GB2312" w:hAnsi="仿宋_GB2312" w:cs="仿宋_GB2312" w:hint="eastAsia"/>
                <w:snapToGrid w:val="0"/>
                <w:sz w:val="24"/>
              </w:rPr>
              <w:t>定性</w:t>
            </w:r>
          </w:p>
        </w:tc>
      </w:tr>
    </w:tbl>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（三）绿色供应链评价指数计算方法</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企业绿色供应链管理指数的计算公式如下。</w:t>
      </w:r>
      <w:r>
        <w:rPr>
          <w:rFonts w:ascii="Times New Roman" w:eastAsia="仿宋_GB2312" w:hAnsi="Times New Roman" w:cs="Times New Roman" w:hint="default"/>
          <w:snapToGrid w:val="0"/>
          <w:position w:val="0"/>
          <w:sz w:val="32"/>
          <w:szCs w:val="3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8.98pt;height:17pt" o:oleicon="f" o:ole="" o:preferrelative="t" filled="f" stroked="f">
            <v:imagedata r:id="rId4" o:title=""/>
            <v:path o:extrusionok="f"/>
            <o:lock v:ext="edit" aspectratio="t"/>
          </v:shape>
          <o:OLEObject Type="Embed" ProgID="Equation.3" ShapeID="对象 1" DrawAspect="Content" ObjectID="_1234567890" r:id="rId5"/>
        </w:objec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position w:val="0"/>
          <w:sz w:val="32"/>
          <w:szCs w:val="32"/>
        </w:rPr>
        <w:object>
          <v:shape id="对象 2" o:spid="_x0000_i1026" type="#_x0000_t75" style="width:410.26pt;height:44.33pt" o:oleicon="f" o:ole="" o:preferrelative="t" filled="f" stroked="f">
            <v:stroke joinstyle="miter"/>
            <v:imagedata r:id="rId6" o:title=""/>
            <v:path o:extrusionok="f"/>
            <o:lock v:ext="edit" aspectratio="t"/>
          </v:shape>
          <o:OLEObject Type="Embed" ProgID="Equation.3" ShapeID="对象 2" DrawAspect="Content" ObjectID="_1234567891" r:id="rId7"/>
        </w:object>
      </w:r>
      <w:r>
        <w:rPr>
          <w:rFonts w:ascii="Times New Roman" w:eastAsia="仿宋_GB2312" w:hAnsi="Times New Roman" w:cs="Times New Roman" w:hint="default"/>
          <w:snapToGrid w:val="0"/>
          <w:sz w:val="32"/>
          <w:szCs w:val="32"/>
        </w:rPr>
        <w:t>式中</w:t>
      </w:r>
      <w:r>
        <w:rPr>
          <w:rFonts w:ascii="Times New Roman" w:eastAsia="仿宋_GB2312" w:hAnsi="Times New Roman" w:cs="Times New Roman" w:hint="default"/>
          <w:snapToGrid w:val="0"/>
          <w:sz w:val="32"/>
          <w:szCs w:val="32"/>
        </w:rPr>
        <w:pict>
          <v:shape id="对象 2" o:spid="_x0000_s1027" type="#_x0000_t75" style="width:9pt;height:17.25pt;margin-top:0.3pt;margin-left:0;mso-position-horizontal:left;position:absolute;z-index:251658240" o:oleicon="f" o:preferrelative="t" filled="f" stroked="f">
            <v:imagedata r:id="rId4" o:title=""/>
            <v:path o:extrusionok="f"/>
            <o:lock v:ext="edit" aspectratio="t"/>
            <w10:wrap type="square" side="right"/>
          </v:shape>
          <o:OLEObject Type="Embed" ProgID="Equation.3" ShapeID="对象 2" DrawAspect="Content" ObjectID="_1234567892" r:id="rId8"/>
        </w:pict>
      </w:r>
      <w:r>
        <w:rPr>
          <w:rFonts w:ascii="Times New Roman" w:eastAsia="仿宋_GB2312" w:hAnsi="Times New Roman" w:cs="Times New Roman" w:hint="default"/>
          <w:snapToGrid w:val="0"/>
          <w:sz w:val="32"/>
          <w:szCs w:val="32"/>
        </w:rPr>
        <w:t>GSCI为绿色供应链管理指数。</w:t>
      </w: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（四）绿色供应链评价结果</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经评价绿色供应链管理指数大于80分（含等于）的企业，认定为</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卓越绿色供应链管理企业</w:t>
      </w:r>
      <w:r>
        <w:rPr>
          <w:rFonts w:ascii="Times New Roman" w:eastAsia="仿宋_GB2312" w:hAnsi="Times New Roman" w:cs="Times New Roman" w:hint="default"/>
          <w:snapToGrid w:val="0"/>
          <w:sz w:val="32"/>
          <w:szCs w:val="32"/>
        </w:rPr>
        <w:t>”</w:t>
      </w:r>
      <w:r>
        <w:rPr>
          <w:rFonts w:ascii="Times New Roman" w:eastAsia="仿宋_GB2312" w:hAnsi="Times New Roman" w:cs="Times New Roman" w:hint="default"/>
          <w:snapToGrid w:val="0"/>
          <w:sz w:val="32"/>
          <w:szCs w:val="32"/>
        </w:rPr>
        <w:t>，优先享受国家各项支持政策。</w:t>
      </w:r>
    </w:p>
    <w:p>
      <w:pPr>
        <w:ind w:firstLine="474" w:firstLineChars="148"/>
        <w:rPr>
          <w:rFonts w:ascii="Times New Roman" w:eastAsia="楷体_GB2312" w:hAnsi="Times New Roman" w:cs="Times New Roman" w:hint="default"/>
          <w:snapToGrid w:val="0"/>
          <w:sz w:val="32"/>
          <w:szCs w:val="32"/>
        </w:rPr>
      </w:pPr>
    </w:p>
    <w:p>
      <w:pPr>
        <w:ind w:firstLine="474" w:firstLineChars="148"/>
        <w:rPr>
          <w:rFonts w:ascii="Times New Roman" w:eastAsia="楷体_GB2312" w:hAnsi="Times New Roman" w:cs="Times New Roman" w:hint="default"/>
          <w:snapToGrid w:val="0"/>
          <w:sz w:val="32"/>
          <w:szCs w:val="32"/>
        </w:rPr>
      </w:pPr>
      <w:r>
        <w:rPr>
          <w:rFonts w:ascii="Times New Roman" w:eastAsia="楷体_GB2312" w:hAnsi="Times New Roman" w:cs="Times New Roman" w:hint="default"/>
          <w:snapToGrid w:val="0"/>
          <w:sz w:val="32"/>
          <w:szCs w:val="32"/>
        </w:rPr>
        <w:t>（五）部分指标说明</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1、纳入公司发展规划：有明确的绿色供应链管理中长期发展规划、年度目标、指标、实施方案等文件。</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2、供应商绩效评估制度：建立供应商绩效评估标准，对供应商进行分级评价和管理。</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3、低风险供应商占比的基准值取80%。达到或超过80%得4分，其他分值的计算：比例值/80%*4。</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4、节能减排环保合规：符合国家和地方有关环境法律和法规，近五年无重大安全、环保、质量事故；配备能源、水源监测设备及污染物监测设备（计量仪器符合GB/T17167和GB</w:t>
      </w:r>
      <w:r>
        <w:rPr>
          <w:rFonts w:ascii="Times New Roman" w:eastAsia="仿宋_GB2312" w:hAnsi="Times New Roman" w:cs="Times New Roman" w:hint="default"/>
          <w:snapToGrid w:val="0"/>
          <w:sz w:val="32"/>
          <w:szCs w:val="32"/>
          <w:lang w:val="en-US" w:eastAsia="zh-CN"/>
        </w:rPr>
        <w:t xml:space="preserve"> </w:t>
      </w:r>
      <w:r>
        <w:rPr>
          <w:rFonts w:ascii="Times New Roman" w:eastAsia="仿宋_GB2312" w:hAnsi="Times New Roman" w:cs="Times New Roman" w:hint="default"/>
          <w:snapToGrid w:val="0"/>
          <w:sz w:val="32"/>
          <w:szCs w:val="32"/>
        </w:rPr>
        <w:t>24789）。</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5、产品回收率X41的基准值为90%，达到或超过90%得5分，其他分值的计算：比例值/90%*5。</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6、包装回收率X42的基准值为80%，达到或超过80%得5分，其他分值的计算：比例值/80%*5。</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7、指导下游企业回收拆解：具备回收拆解信息管理系统，实现拆解信息的传递及产品的追溯。</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8、绿色供应链管理信息平台完善：对企业及其供应商产品材质、工艺流程、能源资源消耗、污染物排放等信息进行有效收集与管理。</w:t>
      </w:r>
    </w:p>
    <w:p>
      <w:pPr>
        <w:ind w:firstLine="474" w:firstLineChars="148"/>
        <w:rPr>
          <w:rFonts w:ascii="Times New Roman" w:eastAsia="仿宋_GB2312" w:hAnsi="Times New Roman" w:cs="Times New Roman" w:hint="default"/>
          <w:snapToGrid w:val="0"/>
          <w:sz w:val="32"/>
          <w:szCs w:val="32"/>
        </w:rPr>
      </w:pPr>
      <w:r>
        <w:rPr>
          <w:rFonts w:ascii="Times New Roman" w:eastAsia="仿宋_GB2312" w:hAnsi="Times New Roman" w:cs="Times New Roman" w:hint="default"/>
          <w:snapToGrid w:val="0"/>
          <w:sz w:val="32"/>
          <w:szCs w:val="32"/>
        </w:rPr>
        <w:t>9、披露企业节能减排减碳信息：具体包括有毒有害物质使用、能源资源利用效率、污染物排放、碳排放减少量、产品回收利用率等信息。</w:t>
      </w:r>
    </w:p>
    <w:sectPr>
      <w:footerReference w:type="even" r:id="rId9"/>
      <w:footerReference w:type="default" r:id="rId10"/>
      <w:footerReference w:type="first" r:id="rId11"/>
      <w:type w:val="nextPage"/>
      <w:pgSz w:w="11906" w:h="16838"/>
      <w:pgMar w:top="1417" w:right="1587" w:bottom="1417" w:left="1701" w:header="851" w:footer="992" w:gutter="0"/>
      <w:paperSrc w:first="0" w:other="0"/>
      <w:pgNumType w:fmt="decimal"/>
      <w:cols w:space="720"/>
      <w:titlePg/>
      <w:rtlGutter w:val="0"/>
      <w:docGrid w:type="linesAndChars" w:linePitch="636" w:charSpace="20026"/>
    </w:sectPr>
  </w:body>
</w:document>
</file>

<file path=word/fontTable.xml><?xml version="1.0" encoding="utf-8"?>
<w:fonts xmlns:r="http://schemas.openxmlformats.org/officeDocument/2006/relationships" xmlns:w="http://schemas.openxmlformats.org/wordprocessingml/2006/main">
  <w:font w:name="Calibri">
    <w:altName w:val="DejaVu Sans"/>
    <w:panose1 w:val="020F0502020204030204"/>
    <w:charset w:val="86"/>
    <w:family w:val="swiss"/>
    <w:pitch w:val="default"/>
    <w:sig w:usb0="00000000" w:usb1="00000000" w:usb2="00000001" w:usb3="00000000" w:csb0="0000019F" w:csb1="00000000"/>
  </w:font>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fldChar w:fldCharType="begin"/>
    </w:r>
    <w:r>
      <w:rPr>
        <w:rStyle w:val="PageNumber"/>
      </w:rPr>
      <w:instrText xml:space="preserve">PAGE  </w:instrText>
    </w:r>
    <w:r>
      <w:fldChar w:fldCharType="separate"/>
    </w:r>
    <w:r>
      <w:fldChar w:fldCharType="end"/>
    </w:r>
  </w:p>
  <w:p>
    <w:pPr>
      <w:pStyle w:val="Foote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rPr>
        <w:sz w:val="18"/>
      </w:rPr>
      <w:pict>
        <v:shapetype id="_x0000_t202" coordsize="21600,21600" o:spt="202" path="m,l,21600r21600,l21600,xe">
          <v:stroke joinstyle="miter"/>
          <v:path gradientshapeok="t" o:connecttype="rect"/>
        </v:shapetype>
        <v:shape id="文本框 1" o:spid="_x0000_s2049" type="#_x0000_t202" style="width:2in;height:2in;margin-top:0;margin-left:0;mso-position-horizontal:outside;mso-position-horizontal-relative:margin;mso-wrap-style:none;position:absolute;v-text-anchor:top;z-index:251658240" filled="f" stroked="f" strokeweight="0.5pt">
          <v:fill o:detectmouseclick="t"/>
          <o:lock v:ext="edit" aspectratio="f"/>
          <v:textbox style="layout-flow:horizontal;mso-fit-shape-to-text:t" inset="0,0,0,0">
            <w:txbxContent>
              <w:p>
                <w:pPr>
                  <w:pStyle w:val="Footer"/>
                  <w:tabs>
                    <w:tab w:val="center" w:pos="4153"/>
                    <w:tab w:val="right" w:pos="8306"/>
                  </w:tabs>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rPr>
        <w:sz w:val="18"/>
      </w:rPr>
      <w:pict>
        <v:shapetype id="_x0000_t202" coordsize="21600,21600" o:spt="202" path="m,l,21600r21600,l21600,xe">
          <v:stroke joinstyle="miter"/>
          <v:path gradientshapeok="t" o:connecttype="rect"/>
        </v:shapetype>
        <v:shape id="文本框 2" o:spid="_x0000_s2050" type="#_x0000_t202" style="width:2in;height:2in;margin-top:0;margin-left:0;mso-position-horizontal:outside;mso-position-horizontal-relative:margin;mso-wrap-style:none;position:absolute;v-text-anchor:top;z-index:251659264" filled="f" stroked="f" strokeweight="0.5pt">
          <v:fill o:detectmouseclick="t"/>
          <o:lock v:ext="edit" aspectratio="f"/>
          <v:textbox style="layout-flow:horizontal;mso-fit-shape-to-text:t" inset="0,0,0,0">
            <w:txbxContent>
              <w:p>
                <w:pPr>
                  <w:pStyle w:val="Footer"/>
                  <w:tabs>
                    <w:tab w:val="center" w:pos="4153"/>
                    <w:tab w:val="right" w:pos="8306"/>
                  </w:tabs>
                  <w:rPr>
                    <w:rFonts w:ascii="Times New Roman" w:hAnsi="Times New Roman" w:cs="Times New Roman" w:hint="default"/>
                    <w:sz w:val="21"/>
                    <w:szCs w:val="21"/>
                  </w:rPr>
                </w:pPr>
                <w:r>
                  <w:rPr>
                    <w:rFonts w:ascii="Times New Roman" w:hAnsi="Times New Roman" w:cs="Times New Roman" w:hint="default"/>
                    <w:sz w:val="21"/>
                    <w:szCs w:val="21"/>
                  </w:rPr>
                  <w:t>—</w:t>
                </w:r>
                <w:r>
                  <w:rPr>
                    <w:rFonts w:ascii="Times New Roman" w:hAnsi="Times New Roman" w:cs="Times New Roman" w:hint="default"/>
                    <w:sz w:val="21"/>
                    <w:szCs w:val="21"/>
                  </w:rPr>
                  <w:t xml:space="preserve"> </w:t>
                </w:r>
                <w:r>
                  <w:rPr>
                    <w:rFonts w:ascii="Times New Roman" w:hAnsi="Times New Roman" w:cs="Times New Roman" w:hint="default"/>
                    <w:sz w:val="21"/>
                    <w:szCs w:val="21"/>
                  </w:rPr>
                  <w:fldChar w:fldCharType="begin"/>
                </w:r>
                <w:r>
                  <w:rPr>
                    <w:rFonts w:ascii="Times New Roman" w:hAnsi="Times New Roman" w:cs="Times New Roman" w:hint="default"/>
                    <w:sz w:val="21"/>
                    <w:szCs w:val="21"/>
                  </w:rPr>
                  <w:instrText xml:space="preserve"> PAGE  \* MERGEFORMAT </w:instrText>
                </w:r>
                <w:r>
                  <w:rPr>
                    <w:rFonts w:ascii="Times New Roman" w:hAnsi="Times New Roman" w:cs="Times New Roman" w:hint="default"/>
                    <w:sz w:val="21"/>
                    <w:szCs w:val="21"/>
                  </w:rPr>
                  <w:fldChar w:fldCharType="separate"/>
                </w:r>
                <w:r>
                  <w:rPr>
                    <w:rFonts w:ascii="Times New Roman" w:hAnsi="Times New Roman" w:cs="Times New Roman" w:hint="default"/>
                    <w:sz w:val="21"/>
                    <w:szCs w:val="21"/>
                  </w:rPr>
                  <w:t>1</w:t>
                </w:r>
                <w:r>
                  <w:rPr>
                    <w:rFonts w:ascii="Times New Roman" w:hAnsi="Times New Roman" w:cs="Times New Roman" w:hint="default"/>
                    <w:sz w:val="21"/>
                    <w:szCs w:val="21"/>
                  </w:rPr>
                  <w:fldChar w:fldCharType="end"/>
                </w:r>
                <w:r>
                  <w:rPr>
                    <w:rFonts w:ascii="Times New Roman" w:hAnsi="Times New Roman" w:cs="Times New Roman" w:hint="default"/>
                    <w:sz w:val="21"/>
                    <w:szCs w:val="21"/>
                  </w:rPr>
                  <w:t xml:space="preserve"> </w:t>
                </w:r>
                <w:r>
                  <w:rPr>
                    <w:rFonts w:ascii="Times New Roman" w:hAnsi="Times New Roman" w:cs="Times New Roman" w:hint="default"/>
                    <w:sz w:val="21"/>
                    <w:szCs w:val="21"/>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revisionView w:comments="1" w:formatting="1" w:inkAnnotations="1" w:insDel="1" w:markup="0"/>
  <w:trackRevisions/>
  <w:defaultTabStop w:val="420"/>
  <w:drawingGridHorizontalSpacing w:val="154"/>
  <w:drawingGridVerticalSpacing w:val="318"/>
  <w:displayHorizontalDrawingGridEvery w:val="2"/>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448C"/>
    <w:rsid w:val="D7FF12E8"/>
    <w:rsid w:val="DFDB5772"/>
    <w:rsid w:val="00030C6A"/>
    <w:rsid w:val="00037F0E"/>
    <w:rsid w:val="000D03A1"/>
    <w:rsid w:val="000F7280"/>
    <w:rsid w:val="00113261"/>
    <w:rsid w:val="00113518"/>
    <w:rsid w:val="00147D61"/>
    <w:rsid w:val="00147E3F"/>
    <w:rsid w:val="00153014"/>
    <w:rsid w:val="00163962"/>
    <w:rsid w:val="00176A04"/>
    <w:rsid w:val="00180D33"/>
    <w:rsid w:val="001A036E"/>
    <w:rsid w:val="001A60D3"/>
    <w:rsid w:val="001D0580"/>
    <w:rsid w:val="001D2842"/>
    <w:rsid w:val="00224029"/>
    <w:rsid w:val="002275ED"/>
    <w:rsid w:val="0027695B"/>
    <w:rsid w:val="002940F5"/>
    <w:rsid w:val="002B1EEF"/>
    <w:rsid w:val="002C3C76"/>
    <w:rsid w:val="002C4330"/>
    <w:rsid w:val="00300BEF"/>
    <w:rsid w:val="003078ED"/>
    <w:rsid w:val="00331079"/>
    <w:rsid w:val="00343D7E"/>
    <w:rsid w:val="00373B34"/>
    <w:rsid w:val="003C3F94"/>
    <w:rsid w:val="003C4844"/>
    <w:rsid w:val="003F491B"/>
    <w:rsid w:val="00421F34"/>
    <w:rsid w:val="00453807"/>
    <w:rsid w:val="0046355D"/>
    <w:rsid w:val="00466A49"/>
    <w:rsid w:val="0048283D"/>
    <w:rsid w:val="004D0CA2"/>
    <w:rsid w:val="004E5C03"/>
    <w:rsid w:val="0053294F"/>
    <w:rsid w:val="00541A62"/>
    <w:rsid w:val="00561875"/>
    <w:rsid w:val="0058680B"/>
    <w:rsid w:val="00592F25"/>
    <w:rsid w:val="005C2C09"/>
    <w:rsid w:val="005F0DC6"/>
    <w:rsid w:val="006029EA"/>
    <w:rsid w:val="00635547"/>
    <w:rsid w:val="006633D0"/>
    <w:rsid w:val="00682B2F"/>
    <w:rsid w:val="0068741C"/>
    <w:rsid w:val="006A7992"/>
    <w:rsid w:val="006D5FBE"/>
    <w:rsid w:val="006E71D1"/>
    <w:rsid w:val="00703A97"/>
    <w:rsid w:val="0072051F"/>
    <w:rsid w:val="007520EF"/>
    <w:rsid w:val="0078268F"/>
    <w:rsid w:val="0078759A"/>
    <w:rsid w:val="007C642A"/>
    <w:rsid w:val="007D5B1C"/>
    <w:rsid w:val="007E2727"/>
    <w:rsid w:val="007E3A83"/>
    <w:rsid w:val="007E448C"/>
    <w:rsid w:val="008201FD"/>
    <w:rsid w:val="008217F6"/>
    <w:rsid w:val="00822F06"/>
    <w:rsid w:val="00832E4A"/>
    <w:rsid w:val="008A63A8"/>
    <w:rsid w:val="008C2ADB"/>
    <w:rsid w:val="008D0956"/>
    <w:rsid w:val="0090565C"/>
    <w:rsid w:val="00954567"/>
    <w:rsid w:val="00954CCB"/>
    <w:rsid w:val="00956F36"/>
    <w:rsid w:val="0098726D"/>
    <w:rsid w:val="009A4C1E"/>
    <w:rsid w:val="009A6150"/>
    <w:rsid w:val="009B0056"/>
    <w:rsid w:val="009B35F2"/>
    <w:rsid w:val="009E7275"/>
    <w:rsid w:val="00A079D0"/>
    <w:rsid w:val="00A12D9C"/>
    <w:rsid w:val="00A331E4"/>
    <w:rsid w:val="00A77DAA"/>
    <w:rsid w:val="00A80A0D"/>
    <w:rsid w:val="00A96F11"/>
    <w:rsid w:val="00AA38E5"/>
    <w:rsid w:val="00B0381B"/>
    <w:rsid w:val="00B14A25"/>
    <w:rsid w:val="00B526D9"/>
    <w:rsid w:val="00B70F3E"/>
    <w:rsid w:val="00BE1CBD"/>
    <w:rsid w:val="00C12029"/>
    <w:rsid w:val="00C24B79"/>
    <w:rsid w:val="00C256D1"/>
    <w:rsid w:val="00C473E1"/>
    <w:rsid w:val="00C55F69"/>
    <w:rsid w:val="00C61EDB"/>
    <w:rsid w:val="00C67C1D"/>
    <w:rsid w:val="00C95194"/>
    <w:rsid w:val="00CA2CC8"/>
    <w:rsid w:val="00CC3AF0"/>
    <w:rsid w:val="00D01BE9"/>
    <w:rsid w:val="00D10A48"/>
    <w:rsid w:val="00D16E36"/>
    <w:rsid w:val="00D22581"/>
    <w:rsid w:val="00D25D7A"/>
    <w:rsid w:val="00D727C0"/>
    <w:rsid w:val="00D74F6E"/>
    <w:rsid w:val="00D92E40"/>
    <w:rsid w:val="00DA2D92"/>
    <w:rsid w:val="00DA49A3"/>
    <w:rsid w:val="00DD50FE"/>
    <w:rsid w:val="00E15039"/>
    <w:rsid w:val="00E50338"/>
    <w:rsid w:val="00E7447D"/>
    <w:rsid w:val="00EC4EE2"/>
    <w:rsid w:val="00EE65D7"/>
    <w:rsid w:val="00F011A7"/>
    <w:rsid w:val="00F07179"/>
    <w:rsid w:val="00F25236"/>
    <w:rsid w:val="00F6067A"/>
    <w:rsid w:val="00F95522"/>
    <w:rsid w:val="00FC0924"/>
    <w:rsid w:val="00FE0BF4"/>
    <w:rsid w:val="054A1660"/>
    <w:rsid w:val="06EB4441"/>
    <w:rsid w:val="08B30E10"/>
    <w:rsid w:val="08BA78C3"/>
    <w:rsid w:val="0BE55709"/>
    <w:rsid w:val="393E69AE"/>
    <w:rsid w:val="3CAC3D3C"/>
    <w:rsid w:val="47507EDF"/>
    <w:rsid w:val="5DE673C6"/>
    <w:rsid w:val="602227CA"/>
    <w:rsid w:val="6BC72F84"/>
    <w:rsid w:val="6DC07208"/>
    <w:rsid w:val="72820265"/>
    <w:rsid w:val="7BEFB4D9"/>
    <w:rsid w:val="7C287503"/>
    <w:rsid w:val="7DBD6E37"/>
    <w:rsid w:val="7EFE5B7E"/>
  </w:rsids>
  <w:docVars>
    <w:docVar w:name="commondata" w:val="eyJoZGlkIjoiNzU1NmFkYjM2ZjVlNjlhYTExODFlMTExZDY5YzQ0NzkifQ=="/>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qFormat="1"/>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Calibri"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CommentText">
    <w:name w:val="annotation text"/>
    <w:basedOn w:val="Normal"/>
    <w:link w:val="Char"/>
    <w:qFormat/>
    <w:pPr>
      <w:jc w:val="left"/>
    </w:pPr>
  </w:style>
  <w:style w:type="character" w:customStyle="1" w:styleId="Char">
    <w:name w:val="批注文字 Char"/>
    <w:link w:val="CommentText"/>
    <w:qFormat/>
    <w:rPr>
      <w:kern w:val="2"/>
      <w:sz w:val="21"/>
      <w:szCs w:val="24"/>
    </w:rPr>
  </w:style>
  <w:style w:type="paragraph" w:styleId="BalloonText">
    <w:name w:val="Balloon Text"/>
    <w:basedOn w:val="Normal"/>
    <w:link w:val="Char0"/>
    <w:qFormat/>
    <w:rPr>
      <w:sz w:val="18"/>
      <w:szCs w:val="18"/>
    </w:rPr>
  </w:style>
  <w:style w:type="character" w:customStyle="1" w:styleId="Char0">
    <w:name w:val="批注框文本 Char"/>
    <w:link w:val="BalloonText"/>
    <w:qFormat/>
    <w:rPr>
      <w:kern w:val="2"/>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CommentSubject">
    <w:name w:val="annotation subject"/>
    <w:basedOn w:val="CommentText"/>
    <w:next w:val="CommentText"/>
    <w:link w:val="Char1"/>
    <w:qFormat/>
    <w:rPr>
      <w:b/>
      <w:bCs/>
    </w:rPr>
  </w:style>
  <w:style w:type="character" w:customStyle="1" w:styleId="Char1">
    <w:name w:val="批注主题 Char"/>
    <w:link w:val="CommentSubject"/>
    <w:qFormat/>
    <w:rPr>
      <w:b/>
      <w:bCs/>
      <w:kern w:val="2"/>
      <w:sz w:val="21"/>
      <w:szCs w:val="24"/>
    </w:rPr>
  </w:style>
  <w:style w:type="character" w:styleId="PageNumber">
    <w:name w:val="page number"/>
    <w:basedOn w:val="DefaultParagraphFont"/>
    <w:qFormat/>
  </w:style>
  <w:style w:type="character" w:styleId="CommentReference">
    <w:name w:val="annotation reference"/>
    <w:qFormat/>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oleObject" Target="embeddings/oleObject3.bin"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157260960</TotalTime>
  <Pages>7</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wangxu</dc:creator>
  <cp:lastModifiedBy>gxxc</cp:lastModifiedBy>
  <cp:revision>3</cp:revision>
  <cp:lastPrinted>2023-06-30T06:22:00Z</cp:lastPrinted>
  <dcterms:created xsi:type="dcterms:W3CDTF">2016-06-19T01:43:00Z</dcterms:created>
  <dcterms:modified xsi:type="dcterms:W3CDTF">2025-03-17T16:01:07Z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16E25A995D3F4F47941F8B5F72ECC9DE_12</vt:lpwstr>
  </property>
  <property fmtid="{D5CDD505-2E9C-101B-9397-08002B2CF9AE}" pid="3" name="KSOProductBuildVer">
    <vt:lpwstr>2052-11.8.2.9958</vt:lpwstr>
  </property>
  <property fmtid="{D5CDD505-2E9C-101B-9397-08002B2CF9AE}" pid="4" name="慧眼令牌">
    <vt:lpwstr>eyJraWQiOiJvYSIsInR5cCI6IkpXVCIsImFsZyI6IkhTMjU2In0.eyJzdWIiOiJPQS1MT0dJTiIsIm5iZiI6MTc0MjE5MjI4NywiY29ycElkIjoiIiwiaXNzIjoiRVhPQSIsIm5hbWUiOiLmnY7pm6jnj4IiLCJleHAiOjIwNTc1NTU4ODcsImlhdCI6MTc0MjE5NTI4NywidXNlcklkIjoxMzc0MywianRpIjoib2EiLCJhY2NvdW50IjoibGl5ayJ9.GeBvniPLE680mKFcd73vQf7SFHWZ93rx9V3GOtAWL7s</vt:lpwstr>
  </property>
</Properties>
</file>