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jc w:val="left"/>
        <w:rPr>
          <w:rFonts w:ascii="黑体" w:eastAsia="黑体" w:hAnsi="黑体" w:cs="黑体" w:hint="eastAsia"/>
          <w:snapToGrid w:val="0"/>
          <w:sz w:val="32"/>
          <w:szCs w:val="32"/>
          <w:lang w:val="en-US" w:eastAsia="zh-CN"/>
        </w:rPr>
      </w:pPr>
      <w:r>
        <w:rPr>
          <w:rFonts w:ascii="黑体" w:eastAsia="黑体" w:hAnsi="黑体" w:cs="黑体" w:hint="eastAsia"/>
          <w:snapToGrid w:val="0"/>
          <w:sz w:val="32"/>
          <w:szCs w:val="32"/>
        </w:rPr>
        <w:t>附件</w:t>
      </w:r>
      <w:r>
        <w:rPr>
          <w:rFonts w:ascii="黑体" w:eastAsia="黑体" w:hAnsi="黑体" w:cs="黑体" w:hint="eastAsia"/>
          <w:snapToGrid w:val="0"/>
          <w:sz w:val="32"/>
          <w:szCs w:val="32"/>
          <w:lang w:val="en-US" w:eastAsia="zh-CN"/>
        </w:rPr>
        <w:t>3</w:t>
      </w:r>
    </w:p>
    <w:p>
      <w:pPr>
        <w:jc w:val="left"/>
        <w:rPr>
          <w:rFonts w:ascii="Times New Roman" w:eastAsia="黑体" w:hAnsi="Times New Roman" w:cs="Times New Roman" w:hint="eastAsia"/>
          <w:snapToGrid w:val="0"/>
          <w:sz w:val="32"/>
          <w:szCs w:val="32"/>
          <w:lang w:val="en-US" w:eastAsia="zh-CN"/>
        </w:rPr>
      </w:pPr>
    </w:p>
    <w:p>
      <w:pPr>
        <w:spacing w:line="720" w:lineRule="exact"/>
        <w:jc w:val="center"/>
        <w:rPr>
          <w:rFonts w:ascii="Times New Roman" w:eastAsia="方正小标宋简体" w:hAnsi="Times New Roman" w:cs="Times New Roman" w:hint="default"/>
          <w:bCs/>
          <w:snapToGrid w:val="0"/>
          <w:sz w:val="44"/>
          <w:szCs w:val="44"/>
        </w:rPr>
      </w:pPr>
      <w:r>
        <w:rPr>
          <w:rFonts w:ascii="Times New Roman" w:eastAsia="方正小标宋简体" w:hAnsi="Times New Roman" w:cs="Times New Roman" w:hint="default"/>
          <w:bCs/>
          <w:snapToGrid w:val="0"/>
          <w:sz w:val="44"/>
          <w:szCs w:val="44"/>
        </w:rPr>
        <w:t>绿色</w:t>
      </w:r>
      <w:r>
        <w:rPr>
          <w:rFonts w:ascii="Times New Roman" w:eastAsia="方正小标宋简体" w:hAnsi="Times New Roman" w:cs="Times New Roman" w:hint="default"/>
          <w:bCs/>
          <w:snapToGrid w:val="0"/>
          <w:sz w:val="44"/>
          <w:szCs w:val="44"/>
          <w:lang w:val="en"/>
        </w:rPr>
        <w:t>工业</w:t>
      </w:r>
      <w:r>
        <w:rPr>
          <w:rFonts w:ascii="Times New Roman" w:eastAsia="方正小标宋简体" w:hAnsi="Times New Roman" w:cs="Times New Roman" w:hint="default"/>
          <w:bCs/>
          <w:snapToGrid w:val="0"/>
          <w:sz w:val="44"/>
          <w:szCs w:val="44"/>
        </w:rPr>
        <w:t>园区评价要求</w:t>
      </w:r>
    </w:p>
    <w:p>
      <w:pPr>
        <w:ind w:firstLine="640" w:firstLineChars="200"/>
        <w:rPr>
          <w:rFonts w:ascii="Times New Roman" w:eastAsia="仿宋_GB2312" w:hAnsi="Times New Roman" w:cs="Times New Roman" w:hint="default"/>
          <w:b/>
          <w:snapToGrid w:val="0"/>
          <w:sz w:val="32"/>
          <w:szCs w:val="32"/>
        </w:rPr>
      </w:pP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一、总则</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（一）基本要求</w:t>
      </w:r>
    </w:p>
    <w:p>
      <w:pPr>
        <w:ind w:firstLine="474"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 xml:space="preserve">1.国家和地方绿色、循环和低碳相关法律法规、政策和标准应得到有效的贯彻执行。 </w:t>
      </w:r>
    </w:p>
    <w:p>
      <w:pPr>
        <w:ind w:firstLine="474"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2.近三年，未发生重大污染事故或重大生态破坏事件，完成国家或地方政府下达的节能减排指标，碳排放强度持续下降。</w:t>
      </w:r>
    </w:p>
    <w:p>
      <w:pPr>
        <w:ind w:firstLine="474"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3.环境质量达到国家或地方规定的环境功能区环境质量标准，园区内企业污染物达标排放，各类重点污染物排放总量均不超过国家或地方的总量控制要求。</w:t>
      </w:r>
    </w:p>
    <w:p>
      <w:pPr>
        <w:ind w:firstLine="474"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4.园区重点企业100%实施清洁生产审核。</w:t>
      </w:r>
    </w:p>
    <w:p>
      <w:pPr>
        <w:ind w:firstLine="474"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注：重点企业是指《清洁生产促进法》中规定的应当实施强制性清洁生产 审核的企业（评审期当年及之前公布的重点企业清洁生产审核名单中的企业）。</w:t>
      </w:r>
    </w:p>
    <w:p>
      <w:pPr>
        <w:ind w:firstLine="474"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5.园区企业不应使用国家列入淘汰目录的落后生产技术、工艺和设备，不应生产国家列入淘汰目录的产品。</w:t>
      </w:r>
    </w:p>
    <w:p>
      <w:pPr>
        <w:ind w:firstLine="474"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6.园区建立履行绿色发展工作职责的专门机构、配备2名以上专职工作人员。</w:t>
      </w:r>
    </w:p>
    <w:p>
      <w:pPr>
        <w:ind w:firstLine="474" w:firstLineChars="148"/>
        <w:rPr>
          <w:rFonts w:ascii="Times New Roman" w:eastAsia="仿宋_GB2312" w:hAnsi="Times New Roman" w:cs="Times New Roman" w:hint="default"/>
          <w:snapToGrid w:val="0"/>
          <w:sz w:val="32"/>
          <w:szCs w:val="32"/>
        </w:rPr>
      </w:pPr>
      <w:r>
        <w:rPr>
          <w:rFonts w:ascii="仿宋_GB2312" w:eastAsia="仿宋_GB2312" w:hAnsi="仿宋_GB2312" w:cs="仿宋_GB2312" w:hint="eastAsia"/>
          <w:snapToGrid w:val="0"/>
          <w:sz w:val="32"/>
          <w:szCs w:val="32"/>
        </w:rPr>
        <w:t>7.鼓励园区建立并运行环境管理体系和能源管理体系，建</w:t>
      </w:r>
      <w:r>
        <w:rPr>
          <w:rFonts w:ascii="Times New Roman" w:eastAsia="仿宋_GB2312" w:hAnsi="Times New Roman" w:cs="Times New Roman" w:hint="default"/>
          <w:snapToGrid w:val="0"/>
          <w:sz w:val="32"/>
          <w:szCs w:val="32"/>
        </w:rPr>
        <w:t>立园区能源监测管理平台。</w:t>
      </w:r>
    </w:p>
    <w:p>
      <w:pPr>
        <w:ind w:left="0" w:firstLine="474" w:leftChars="0"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8.鼓励园区建设并运行风能、太阳能等可再生能源应用</w:t>
      </w:r>
      <w:r>
        <w:rPr>
          <w:rFonts w:ascii="仿宋_GB2312" w:eastAsia="仿宋_GB2312" w:hAnsi="仿宋_GB2312" w:cs="仿宋_GB2312" w:hint="eastAsia"/>
          <w:snapToGrid w:val="0"/>
          <w:sz w:val="32"/>
          <w:szCs w:val="32"/>
        </w:rPr>
        <w:t>设施。</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（二）评价指标构成</w:t>
      </w:r>
    </w:p>
    <w:p>
      <w:pPr>
        <w:ind w:firstLine="474" w:firstLineChars="148"/>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绿色园区评价指标体系包括能源利用绿色</w:t>
      </w:r>
      <w:r>
        <w:rPr>
          <w:rFonts w:ascii="仿宋_GB2312" w:eastAsia="仿宋_GB2312" w:hAnsi="仿宋_GB2312" w:cs="仿宋_GB2312" w:hint="eastAsia"/>
          <w:snapToGrid w:val="0"/>
          <w:sz w:val="32"/>
          <w:szCs w:val="32"/>
          <w:lang w:val="en-US" w:eastAsia="zh-CN"/>
        </w:rPr>
        <w:t>化</w:t>
      </w:r>
      <w:r>
        <w:rPr>
          <w:rFonts w:ascii="仿宋_GB2312" w:eastAsia="仿宋_GB2312" w:hAnsi="仿宋_GB2312" w:cs="仿宋_GB2312" w:hint="eastAsia"/>
          <w:snapToGrid w:val="0"/>
          <w:sz w:val="32"/>
          <w:szCs w:val="32"/>
        </w:rPr>
        <w:t>指标、资源利用绿色</w:t>
      </w:r>
      <w:r>
        <w:rPr>
          <w:rFonts w:ascii="仿宋_GB2312" w:eastAsia="仿宋_GB2312" w:hAnsi="仿宋_GB2312" w:cs="仿宋_GB2312" w:hint="eastAsia"/>
          <w:snapToGrid w:val="0"/>
          <w:sz w:val="32"/>
          <w:szCs w:val="32"/>
          <w:lang w:val="en-US" w:eastAsia="zh-CN"/>
        </w:rPr>
        <w:t>化</w:t>
      </w:r>
      <w:r>
        <w:rPr>
          <w:rFonts w:ascii="仿宋_GB2312" w:eastAsia="仿宋_GB2312" w:hAnsi="仿宋_GB2312" w:cs="仿宋_GB2312" w:hint="eastAsia"/>
          <w:snapToGrid w:val="0"/>
          <w:sz w:val="32"/>
          <w:szCs w:val="32"/>
        </w:rPr>
        <w:t>指标、基础设施绿色</w:t>
      </w:r>
      <w:r>
        <w:rPr>
          <w:rFonts w:ascii="仿宋_GB2312" w:eastAsia="仿宋_GB2312" w:hAnsi="仿宋_GB2312" w:cs="仿宋_GB2312" w:hint="eastAsia"/>
          <w:snapToGrid w:val="0"/>
          <w:sz w:val="32"/>
          <w:szCs w:val="32"/>
          <w:lang w:val="en-US" w:eastAsia="zh-CN"/>
        </w:rPr>
        <w:t>化</w:t>
      </w:r>
      <w:r>
        <w:rPr>
          <w:rFonts w:ascii="仿宋_GB2312" w:eastAsia="仿宋_GB2312" w:hAnsi="仿宋_GB2312" w:cs="仿宋_GB2312" w:hint="eastAsia"/>
          <w:snapToGrid w:val="0"/>
          <w:sz w:val="32"/>
          <w:szCs w:val="32"/>
        </w:rPr>
        <w:t>指标、产业绿色</w:t>
      </w:r>
      <w:r>
        <w:rPr>
          <w:rFonts w:ascii="仿宋_GB2312" w:eastAsia="仿宋_GB2312" w:hAnsi="仿宋_GB2312" w:cs="仿宋_GB2312" w:hint="eastAsia"/>
          <w:snapToGrid w:val="0"/>
          <w:sz w:val="32"/>
          <w:szCs w:val="32"/>
          <w:lang w:val="en-US" w:eastAsia="zh-CN"/>
        </w:rPr>
        <w:t>化</w:t>
      </w:r>
      <w:r>
        <w:rPr>
          <w:rFonts w:ascii="仿宋_GB2312" w:eastAsia="仿宋_GB2312" w:hAnsi="仿宋_GB2312" w:cs="仿宋_GB2312" w:hint="eastAsia"/>
          <w:snapToGrid w:val="0"/>
          <w:sz w:val="32"/>
          <w:szCs w:val="32"/>
        </w:rPr>
        <w:t>指标、生态环境绿色</w:t>
      </w:r>
      <w:r>
        <w:rPr>
          <w:rFonts w:ascii="仿宋_GB2312" w:eastAsia="仿宋_GB2312" w:hAnsi="仿宋_GB2312" w:cs="仿宋_GB2312" w:hint="eastAsia"/>
          <w:snapToGrid w:val="0"/>
          <w:sz w:val="32"/>
          <w:szCs w:val="32"/>
          <w:lang w:val="en-US" w:eastAsia="zh-CN"/>
        </w:rPr>
        <w:t>化</w:t>
      </w:r>
      <w:r>
        <w:rPr>
          <w:rFonts w:ascii="仿宋_GB2312" w:eastAsia="仿宋_GB2312" w:hAnsi="仿宋_GB2312" w:cs="仿宋_GB2312" w:hint="eastAsia"/>
          <w:snapToGrid w:val="0"/>
          <w:sz w:val="32"/>
          <w:szCs w:val="32"/>
        </w:rPr>
        <w:t>指标、运行管理绿色</w:t>
      </w:r>
      <w:r>
        <w:rPr>
          <w:rFonts w:ascii="仿宋_GB2312" w:eastAsia="仿宋_GB2312" w:hAnsi="仿宋_GB2312" w:cs="仿宋_GB2312" w:hint="eastAsia"/>
          <w:snapToGrid w:val="0"/>
          <w:sz w:val="32"/>
          <w:szCs w:val="32"/>
          <w:lang w:val="en-US" w:eastAsia="zh-CN"/>
        </w:rPr>
        <w:t>化</w:t>
      </w:r>
      <w:r>
        <w:rPr>
          <w:rFonts w:ascii="仿宋_GB2312" w:eastAsia="仿宋_GB2312" w:hAnsi="仿宋_GB2312" w:cs="仿宋_GB2312" w:hint="eastAsia"/>
          <w:snapToGrid w:val="0"/>
          <w:sz w:val="32"/>
          <w:szCs w:val="32"/>
        </w:rPr>
        <w:t>指标6个</w:t>
      </w:r>
      <w:r>
        <w:rPr>
          <w:rFonts w:ascii="仿宋_GB2312" w:eastAsia="仿宋_GB2312" w:hAnsi="仿宋_GB2312" w:cs="仿宋_GB2312" w:hint="eastAsia"/>
          <w:snapToGrid w:val="0"/>
          <w:sz w:val="32"/>
          <w:szCs w:val="32"/>
        </w:rPr>
        <w:t>方面。</w:t>
      </w:r>
      <w:r>
        <w:rPr>
          <w:rFonts w:ascii="仿宋_GB2312" w:eastAsia="仿宋_GB2312" w:hAnsi="仿宋_GB2312" w:cs="仿宋_GB2312" w:hint="eastAsia"/>
          <w:snapToGrid w:val="0"/>
          <w:sz w:val="32"/>
          <w:szCs w:val="32"/>
          <w:lang w:val="en-US" w:eastAsia="zh-CN"/>
        </w:rPr>
        <w:t>具体</w:t>
      </w:r>
      <w:r>
        <w:rPr>
          <w:rFonts w:ascii="仿宋_GB2312" w:eastAsia="仿宋_GB2312" w:hAnsi="仿宋_GB2312" w:cs="仿宋_GB2312" w:hint="eastAsia"/>
          <w:snapToGrid w:val="0"/>
          <w:sz w:val="32"/>
          <w:szCs w:val="32"/>
        </w:rPr>
        <w:t>如附表1所示。</w:t>
      </w:r>
    </w:p>
    <w:p>
      <w:pPr>
        <w:ind w:firstLine="630"/>
        <w:jc w:val="center"/>
        <w:rPr>
          <w:rFonts w:ascii="Times New Roman" w:eastAsia="黑体" w:hAnsi="Times New Roman" w:cs="Times New Roman" w:hint="default"/>
          <w:snapToGrid w:val="0"/>
          <w:sz w:val="28"/>
          <w:szCs w:val="28"/>
        </w:rPr>
      </w:pPr>
      <w:r>
        <w:rPr>
          <w:rFonts w:ascii="Times New Roman" w:eastAsia="黑体" w:hAnsi="Times New Roman" w:cs="Times New Roman" w:hint="default"/>
          <w:snapToGrid w:val="0"/>
          <w:sz w:val="28"/>
          <w:szCs w:val="28"/>
        </w:rPr>
        <w:t>附表1 绿色园区评价指标体系</w:t>
      </w:r>
    </w:p>
    <w:tbl>
      <w:tblPr>
        <w:tblStyle w:val="TableGrid"/>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604"/>
        <w:gridCol w:w="800"/>
        <w:gridCol w:w="2550"/>
        <w:gridCol w:w="1300"/>
        <w:gridCol w:w="1044"/>
        <w:gridCol w:w="1058"/>
      </w:tblGrid>
      <w:tr>
        <w:tblPrEx>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312"/>
          <w:tblHeader/>
          <w:jc w:val="center"/>
        </w:trPr>
        <w:tc>
          <w:tcPr>
            <w:tcW w:w="1604" w:type="dxa"/>
            <w:vAlign w:val="center"/>
          </w:tcPr>
          <w:p>
            <w:pPr>
              <w:adjustRightInd/>
              <w:snapToGrid/>
              <w:jc w:val="center"/>
              <w:rPr>
                <w:rFonts w:ascii="仿宋_GB2312" w:eastAsia="仿宋_GB2312" w:hAnsi="仿宋_GB2312" w:cs="仿宋_GB2312" w:hint="eastAsia"/>
                <w:b w:val="0"/>
                <w:bCs/>
                <w:snapToGrid w:val="0"/>
                <w:kern w:val="0"/>
                <w:sz w:val="28"/>
                <w:szCs w:val="28"/>
              </w:rPr>
            </w:pPr>
            <w:r>
              <w:rPr>
                <w:rFonts w:ascii="仿宋_GB2312" w:eastAsia="仿宋_GB2312" w:hAnsi="仿宋_GB2312" w:cs="仿宋_GB2312" w:hint="eastAsia"/>
                <w:b w:val="0"/>
                <w:bCs/>
                <w:snapToGrid w:val="0"/>
                <w:kern w:val="0"/>
                <w:sz w:val="28"/>
                <w:szCs w:val="28"/>
              </w:rPr>
              <w:t>一级指标</w:t>
            </w:r>
          </w:p>
        </w:tc>
        <w:tc>
          <w:tcPr>
            <w:tcW w:w="800" w:type="dxa"/>
            <w:vAlign w:val="center"/>
          </w:tcPr>
          <w:p>
            <w:pPr>
              <w:adjustRightInd/>
              <w:snapToGrid/>
              <w:jc w:val="center"/>
              <w:rPr>
                <w:rFonts w:ascii="仿宋_GB2312" w:eastAsia="仿宋_GB2312" w:hAnsi="仿宋_GB2312" w:cs="仿宋_GB2312" w:hint="eastAsia"/>
                <w:b w:val="0"/>
                <w:bCs/>
                <w:snapToGrid w:val="0"/>
                <w:kern w:val="0"/>
                <w:sz w:val="28"/>
                <w:szCs w:val="28"/>
              </w:rPr>
            </w:pPr>
            <w:r>
              <w:rPr>
                <w:rFonts w:ascii="仿宋_GB2312" w:eastAsia="仿宋_GB2312" w:hAnsi="仿宋_GB2312" w:cs="仿宋_GB2312" w:hint="eastAsia"/>
                <w:b w:val="0"/>
                <w:bCs/>
                <w:snapToGrid w:val="0"/>
                <w:kern w:val="0"/>
                <w:sz w:val="28"/>
                <w:szCs w:val="28"/>
              </w:rPr>
              <w:t>序号</w:t>
            </w:r>
          </w:p>
        </w:tc>
        <w:tc>
          <w:tcPr>
            <w:tcW w:w="2550" w:type="dxa"/>
            <w:vAlign w:val="center"/>
          </w:tcPr>
          <w:p>
            <w:pPr>
              <w:adjustRightInd/>
              <w:snapToGrid/>
              <w:ind w:firstLine="562"/>
              <w:jc w:val="both"/>
              <w:rPr>
                <w:rFonts w:ascii="仿宋_GB2312" w:eastAsia="仿宋_GB2312" w:hAnsi="仿宋_GB2312" w:cs="仿宋_GB2312" w:hint="eastAsia"/>
                <w:b w:val="0"/>
                <w:bCs/>
                <w:snapToGrid w:val="0"/>
                <w:kern w:val="0"/>
                <w:sz w:val="28"/>
                <w:szCs w:val="28"/>
              </w:rPr>
            </w:pPr>
            <w:r>
              <w:rPr>
                <w:rFonts w:ascii="仿宋_GB2312" w:eastAsia="仿宋_GB2312" w:hAnsi="仿宋_GB2312" w:cs="仿宋_GB2312" w:hint="eastAsia"/>
                <w:b w:val="0"/>
                <w:bCs/>
                <w:snapToGrid w:val="0"/>
                <w:kern w:val="0"/>
                <w:sz w:val="28"/>
                <w:szCs w:val="28"/>
              </w:rPr>
              <w:t>二级指标</w:t>
            </w:r>
          </w:p>
        </w:tc>
        <w:tc>
          <w:tcPr>
            <w:tcW w:w="1300" w:type="dxa"/>
            <w:vAlign w:val="center"/>
          </w:tcPr>
          <w:p>
            <w:pPr>
              <w:adjustRightInd/>
              <w:snapToGrid/>
              <w:jc w:val="center"/>
              <w:rPr>
                <w:rFonts w:ascii="仿宋_GB2312" w:eastAsia="仿宋_GB2312" w:hAnsi="仿宋_GB2312" w:cs="仿宋_GB2312" w:hint="eastAsia"/>
                <w:b w:val="0"/>
                <w:bCs/>
                <w:snapToGrid w:val="0"/>
                <w:kern w:val="0"/>
                <w:sz w:val="28"/>
                <w:szCs w:val="28"/>
              </w:rPr>
            </w:pPr>
            <w:r>
              <w:rPr>
                <w:rFonts w:ascii="仿宋_GB2312" w:eastAsia="仿宋_GB2312" w:hAnsi="仿宋_GB2312" w:cs="仿宋_GB2312" w:hint="eastAsia"/>
                <w:b w:val="0"/>
                <w:bCs/>
                <w:snapToGrid w:val="0"/>
                <w:kern w:val="0"/>
                <w:sz w:val="28"/>
                <w:szCs w:val="28"/>
              </w:rPr>
              <w:t>单位</w:t>
            </w:r>
          </w:p>
        </w:tc>
        <w:tc>
          <w:tcPr>
            <w:tcW w:w="1044" w:type="dxa"/>
            <w:vAlign w:val="center"/>
          </w:tcPr>
          <w:p>
            <w:pPr>
              <w:adjustRightInd/>
              <w:snapToGrid/>
              <w:jc w:val="center"/>
              <w:rPr>
                <w:rFonts w:ascii="仿宋_GB2312" w:eastAsia="仿宋_GB2312" w:hAnsi="仿宋_GB2312" w:cs="仿宋_GB2312" w:hint="eastAsia"/>
                <w:b w:val="0"/>
                <w:bCs/>
                <w:snapToGrid w:val="0"/>
                <w:kern w:val="0"/>
                <w:sz w:val="28"/>
                <w:szCs w:val="28"/>
                <w:lang w:val="en-US" w:eastAsia="zh-CN"/>
              </w:rPr>
            </w:pPr>
            <w:r>
              <w:rPr>
                <w:rFonts w:ascii="仿宋_GB2312" w:eastAsia="仿宋_GB2312" w:hAnsi="仿宋_GB2312" w:cs="仿宋_GB2312" w:hint="eastAsia"/>
                <w:b w:val="0"/>
                <w:bCs/>
                <w:snapToGrid w:val="0"/>
                <w:kern w:val="0"/>
                <w:sz w:val="28"/>
                <w:szCs w:val="28"/>
                <w:lang w:val="en-US" w:eastAsia="zh-CN"/>
              </w:rPr>
              <w:t>引领值</w:t>
            </w:r>
          </w:p>
        </w:tc>
        <w:tc>
          <w:tcPr>
            <w:tcW w:w="1058" w:type="dxa"/>
            <w:vAlign w:val="center"/>
          </w:tcPr>
          <w:p>
            <w:pPr>
              <w:adjustRightInd/>
              <w:snapToGrid/>
              <w:jc w:val="center"/>
              <w:rPr>
                <w:rFonts w:ascii="仿宋_GB2312" w:eastAsia="仿宋_GB2312" w:hAnsi="仿宋_GB2312" w:cs="仿宋_GB2312" w:hint="eastAsia"/>
                <w:b w:val="0"/>
                <w:bCs/>
                <w:snapToGrid w:val="0"/>
                <w:kern w:val="0"/>
                <w:sz w:val="28"/>
                <w:szCs w:val="28"/>
                <w:lang w:eastAsia="zh-CN"/>
              </w:rPr>
            </w:pPr>
            <w:r>
              <w:rPr>
                <w:rFonts w:ascii="仿宋_GB2312" w:eastAsia="仿宋_GB2312" w:hAnsi="仿宋_GB2312" w:cs="仿宋_GB2312" w:hint="eastAsia"/>
                <w:b w:val="0"/>
                <w:bCs/>
                <w:snapToGrid w:val="0"/>
                <w:kern w:val="0"/>
                <w:sz w:val="28"/>
                <w:szCs w:val="28"/>
                <w:lang w:val="en-US" w:eastAsia="zh-CN"/>
              </w:rPr>
              <w:t>类型</w:t>
            </w:r>
          </w:p>
        </w:tc>
      </w:tr>
      <w:tr>
        <w:tblPrEx>
          <w:tblW w:w="8356" w:type="dxa"/>
          <w:jc w:val="center"/>
          <w:tblLayout w:type="fixed"/>
          <w:tblCellMar>
            <w:top w:w="0" w:type="dxa"/>
            <w:left w:w="108" w:type="dxa"/>
            <w:bottom w:w="0" w:type="dxa"/>
            <w:right w:w="108" w:type="dxa"/>
          </w:tblCellMar>
          <w:tblLook w:val="0000"/>
        </w:tblPrEx>
        <w:trPr>
          <w:trHeight w:val="646"/>
          <w:jc w:val="center"/>
        </w:trPr>
        <w:tc>
          <w:tcPr>
            <w:tcW w:w="1604" w:type="dxa"/>
            <w:vMerge w:val="restart"/>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能源利用绿色化</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指标</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（EG）</w:t>
            </w: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能源产出率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万元/tce</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可再生能源使用</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15</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清洁能源使用率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75</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trHeight w:val="90"/>
          <w:jc w:val="center"/>
        </w:trPr>
        <w:tc>
          <w:tcPr>
            <w:tcW w:w="1604" w:type="dxa"/>
            <w:vMerge w:val="restart"/>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资源利用</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绿色化</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指标</w:t>
            </w:r>
            <w:r>
              <w:rPr>
                <w:rFonts w:ascii="仿宋_GB2312" w:eastAsia="仿宋_GB2312" w:hAnsi="仿宋_GB2312" w:cs="仿宋_GB2312" w:hint="eastAsia"/>
                <w:snapToGrid w:val="0"/>
                <w:kern w:val="0"/>
                <w:sz w:val="28"/>
                <w:szCs w:val="28"/>
              </w:rPr>
              <w:t>(RG)</w:t>
            </w: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4</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水资源产出率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元/m</w:t>
            </w:r>
            <w:r>
              <w:rPr>
                <w:rFonts w:ascii="仿宋_GB2312" w:eastAsia="仿宋_GB2312" w:hAnsi="仿宋_GB2312" w:cs="仿宋_GB2312" w:hint="eastAsia"/>
                <w:snapToGrid w:val="0"/>
                <w:kern w:val="0"/>
                <w:sz w:val="28"/>
                <w:szCs w:val="28"/>
                <w:vertAlign w:val="superscript"/>
              </w:rPr>
              <w:t>3</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1500</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5</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土地资源产出率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亿元/km</w:t>
            </w:r>
            <w:r>
              <w:rPr>
                <w:rFonts w:ascii="仿宋_GB2312" w:eastAsia="仿宋_GB2312" w:hAnsi="仿宋_GB2312" w:cs="仿宋_GB2312" w:hint="eastAsia"/>
                <w:snapToGrid w:val="0"/>
                <w:kern w:val="0"/>
                <w:sz w:val="28"/>
                <w:szCs w:val="28"/>
                <w:vertAlign w:val="superscript"/>
              </w:rPr>
              <w:t>2</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15</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6</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工业固体废弃物综合利用率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95</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7</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工业用水重复</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利用率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90</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8</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中水回用率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30</w:t>
            </w:r>
          </w:p>
        </w:tc>
        <w:tc>
          <w:tcPr>
            <w:tcW w:w="1058" w:type="dxa"/>
            <w:vMerge w:val="restart"/>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4项指标选2项</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9</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余热资源回收</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利用率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60</w:t>
            </w:r>
          </w:p>
        </w:tc>
        <w:tc>
          <w:tcPr>
            <w:tcW w:w="1058"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10</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废气资源回收</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利用率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90</w:t>
            </w:r>
          </w:p>
        </w:tc>
        <w:tc>
          <w:tcPr>
            <w:tcW w:w="1058"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11</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再生资源回收</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利用率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80</w:t>
            </w:r>
          </w:p>
        </w:tc>
        <w:tc>
          <w:tcPr>
            <w:tcW w:w="1058"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restart"/>
            <w:vAlign w:val="center"/>
          </w:tcPr>
          <w:p>
            <w:pPr>
              <w:adjustRightInd/>
              <w:snapToGrid/>
              <w:ind w:firstLine="560"/>
              <w:jc w:val="center"/>
              <w:rPr>
                <w:rFonts w:ascii="仿宋_GB2312" w:eastAsia="仿宋_GB2312" w:hAnsi="仿宋_GB2312" w:cs="仿宋_GB2312" w:hint="eastAsia"/>
                <w:snapToGrid w:val="0"/>
                <w:kern w:val="0"/>
                <w:sz w:val="28"/>
                <w:szCs w:val="28"/>
              </w:rPr>
            </w:pP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基础设施绿色指标</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(IG)</w:t>
            </w: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12</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污水集中处理设施</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具备</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13</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新建工业建筑中</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绿色建筑的比例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30</w:t>
            </w:r>
          </w:p>
        </w:tc>
        <w:tc>
          <w:tcPr>
            <w:tcW w:w="1058" w:type="dxa"/>
            <w:vMerge w:val="restart"/>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2项指标选1项</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14</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新建公共建筑中</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绿色建筑的比例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60</w:t>
            </w:r>
          </w:p>
        </w:tc>
        <w:tc>
          <w:tcPr>
            <w:tcW w:w="1058"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15</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500米公交站点</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覆盖率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90</w:t>
            </w:r>
          </w:p>
        </w:tc>
        <w:tc>
          <w:tcPr>
            <w:tcW w:w="1058" w:type="dxa"/>
            <w:vMerge w:val="restart"/>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2项指标选1项</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16</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节能与新能源</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公交车比例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30</w:t>
            </w:r>
          </w:p>
        </w:tc>
        <w:tc>
          <w:tcPr>
            <w:tcW w:w="1058"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restart"/>
            <w:vAlign w:val="center"/>
          </w:tcPr>
          <w:p>
            <w:pPr>
              <w:adjustRightInd/>
              <w:snapToGrid/>
              <w:ind w:firstLine="560"/>
              <w:jc w:val="center"/>
              <w:rPr>
                <w:rFonts w:ascii="仿宋_GB2312" w:eastAsia="仿宋_GB2312" w:hAnsi="仿宋_GB2312" w:cs="仿宋_GB2312" w:hint="eastAsia"/>
                <w:snapToGrid w:val="0"/>
                <w:kern w:val="0"/>
                <w:sz w:val="28"/>
                <w:szCs w:val="28"/>
              </w:rPr>
            </w:pP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产业绿色指标</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（CG）</w:t>
            </w: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17</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高新技术产业产值占园区工业总产值比例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30</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18</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绿色产业增加值占园区工业增加值</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30</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19</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人均工业增加值</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万元/人</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15</w:t>
            </w:r>
          </w:p>
        </w:tc>
        <w:tc>
          <w:tcPr>
            <w:tcW w:w="1058" w:type="dxa"/>
            <w:vMerge w:val="restart"/>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2项指标选1项</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20</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现代服务业比例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30</w:t>
            </w:r>
          </w:p>
        </w:tc>
        <w:tc>
          <w:tcPr>
            <w:tcW w:w="1058"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restart"/>
            <w:vAlign w:val="center"/>
          </w:tcPr>
          <w:p>
            <w:pPr>
              <w:adjustRightInd/>
              <w:snapToGrid/>
              <w:ind w:firstLine="560"/>
              <w:jc w:val="center"/>
              <w:rPr>
                <w:rFonts w:ascii="仿宋_GB2312" w:eastAsia="仿宋_GB2312" w:hAnsi="仿宋_GB2312" w:cs="仿宋_GB2312" w:hint="eastAsia"/>
                <w:snapToGrid w:val="0"/>
                <w:kern w:val="0"/>
                <w:sz w:val="28"/>
                <w:szCs w:val="28"/>
              </w:rPr>
            </w:pPr>
          </w:p>
          <w:p>
            <w:pPr>
              <w:adjustRightInd/>
              <w:snapToGrid/>
              <w:jc w:val="both"/>
              <w:rPr>
                <w:rFonts w:ascii="仿宋_GB2312" w:eastAsia="仿宋_GB2312" w:hAnsi="仿宋_GB2312" w:cs="仿宋_GB2312" w:hint="eastAsia"/>
                <w:snapToGrid w:val="0"/>
                <w:kern w:val="0"/>
                <w:sz w:val="28"/>
                <w:szCs w:val="28"/>
              </w:rPr>
            </w:pP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生态环境绿色指标</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（HG）</w:t>
            </w: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21</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工业固体废弃物（含危废）处置</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利用率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100</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22</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万元工业增加值</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碳排放量消减率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23</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单位工业增加值</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废水排放量</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t/万元</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5</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24</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主要污染物弹性</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系数</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0.3</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25</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园区空气质量</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优良率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80</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26</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绿化覆盖率</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30</w:t>
            </w:r>
          </w:p>
        </w:tc>
        <w:tc>
          <w:tcPr>
            <w:tcW w:w="1058" w:type="dxa"/>
            <w:vMerge w:val="restart"/>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lang w:val="en-US" w:eastAsia="zh-CN"/>
              </w:rPr>
              <w:t>3</w:t>
            </w:r>
            <w:r>
              <w:rPr>
                <w:rFonts w:ascii="仿宋_GB2312" w:eastAsia="仿宋_GB2312" w:hAnsi="仿宋_GB2312" w:cs="仿宋_GB2312" w:hint="eastAsia"/>
                <w:snapToGrid w:val="0"/>
                <w:kern w:val="0"/>
                <w:sz w:val="28"/>
                <w:szCs w:val="28"/>
              </w:rPr>
              <w:t>项指标选1项</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27</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道路遮荫比例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80</w:t>
            </w:r>
          </w:p>
        </w:tc>
        <w:tc>
          <w:tcPr>
            <w:tcW w:w="1058" w:type="dxa"/>
            <w:vMerge/>
            <w:vAlign w:val="center"/>
          </w:tcPr>
          <w:p>
            <w:pPr>
              <w:adjustRightInd/>
              <w:snapToGrid/>
              <w:jc w:val="center"/>
              <w:rPr>
                <w:rFonts w:ascii="仿宋_GB2312" w:eastAsia="仿宋_GB2312" w:hAnsi="仿宋_GB2312" w:cs="仿宋_GB2312" w:hint="eastAsia"/>
                <w:snapToGrid w:val="0"/>
                <w:kern w:val="0"/>
                <w:sz w:val="28"/>
                <w:szCs w:val="28"/>
              </w:rPr>
            </w:pP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28</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露天停车场遮荫</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比例</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80</w:t>
            </w:r>
          </w:p>
        </w:tc>
        <w:tc>
          <w:tcPr>
            <w:tcW w:w="1058"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restart"/>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运行管理绿色指标</w:t>
            </w:r>
          </w:p>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（MG）</w:t>
            </w: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29</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绿色园区标准体系完善程度</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完善</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30</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编制绿色园区发展规划</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是</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r>
        <w:tblPrEx>
          <w:tblW w:w="8356" w:type="dxa"/>
          <w:jc w:val="center"/>
          <w:tblLayout w:type="fixed"/>
          <w:tblCellMar>
            <w:top w:w="0" w:type="dxa"/>
            <w:left w:w="108" w:type="dxa"/>
            <w:bottom w:w="0" w:type="dxa"/>
            <w:right w:w="108" w:type="dxa"/>
          </w:tblCellMar>
          <w:tblLook w:val="0000"/>
        </w:tblPrEx>
        <w:trPr>
          <w:jc w:val="center"/>
        </w:trPr>
        <w:tc>
          <w:tcPr>
            <w:tcW w:w="1604" w:type="dxa"/>
            <w:vMerge/>
            <w:vAlign w:val="center"/>
          </w:tcPr>
          <w:p>
            <w:pPr>
              <w:adjustRightInd/>
              <w:snapToGrid/>
              <w:ind w:firstLine="560"/>
              <w:jc w:val="center"/>
              <w:rPr>
                <w:rFonts w:ascii="仿宋_GB2312" w:eastAsia="仿宋_GB2312" w:hAnsi="仿宋_GB2312" w:cs="仿宋_GB2312" w:hint="eastAsia"/>
                <w:snapToGrid w:val="0"/>
                <w:kern w:val="0"/>
                <w:sz w:val="28"/>
                <w:szCs w:val="28"/>
              </w:rPr>
            </w:pPr>
          </w:p>
        </w:tc>
        <w:tc>
          <w:tcPr>
            <w:tcW w:w="800" w:type="dxa"/>
            <w:vAlign w:val="center"/>
          </w:tcPr>
          <w:p>
            <w:pPr>
              <w:pStyle w:val="1"/>
              <w:adjustRightInd/>
              <w:snapToGrid/>
              <w:ind w:firstLine="0" w:firstLineChars="0"/>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31</w:t>
            </w:r>
          </w:p>
        </w:tc>
        <w:tc>
          <w:tcPr>
            <w:tcW w:w="255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绿色园区信息平台完善程度</w:t>
            </w:r>
          </w:p>
        </w:tc>
        <w:tc>
          <w:tcPr>
            <w:tcW w:w="1300"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w:t>
            </w:r>
          </w:p>
        </w:tc>
        <w:tc>
          <w:tcPr>
            <w:tcW w:w="1044"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完善</w:t>
            </w:r>
          </w:p>
        </w:tc>
        <w:tc>
          <w:tcPr>
            <w:tcW w:w="1058" w:type="dxa"/>
            <w:vAlign w:val="center"/>
          </w:tcPr>
          <w:p>
            <w:pPr>
              <w:adjustRightInd/>
              <w:snapToGrid/>
              <w:jc w:val="center"/>
              <w:rPr>
                <w:rFonts w:ascii="仿宋_GB2312" w:eastAsia="仿宋_GB2312" w:hAnsi="仿宋_GB2312" w:cs="仿宋_GB2312" w:hint="eastAsia"/>
                <w:snapToGrid w:val="0"/>
                <w:kern w:val="0"/>
                <w:sz w:val="28"/>
                <w:szCs w:val="28"/>
              </w:rPr>
            </w:pPr>
            <w:r>
              <w:rPr>
                <w:rFonts w:ascii="仿宋_GB2312" w:eastAsia="仿宋_GB2312" w:hAnsi="仿宋_GB2312" w:cs="仿宋_GB2312" w:hint="eastAsia"/>
                <w:snapToGrid w:val="0"/>
                <w:kern w:val="0"/>
                <w:sz w:val="28"/>
                <w:szCs w:val="28"/>
              </w:rPr>
              <w:t>必选</w:t>
            </w:r>
          </w:p>
        </w:tc>
      </w:tr>
    </w:tbl>
    <w:p>
      <w:pPr>
        <w:ind w:firstLine="630"/>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（三）评价方法</w:t>
      </w:r>
    </w:p>
    <w:p>
      <w:pPr>
        <w:ind w:firstLine="630"/>
        <w:rPr>
          <w:rFonts w:ascii="Times New Roman" w:hAnsi="Times New Roman" w:cs="Times New Roman" w:hint="default"/>
          <w:snapToGrid w:val="0"/>
        </w:rPr>
      </w:pPr>
      <w:r>
        <w:rPr>
          <w:rFonts w:ascii="Times New Roman" w:eastAsia="仿宋_GB2312" w:hAnsi="Times New Roman" w:cs="Times New Roman" w:hint="default"/>
          <w:snapToGrid w:val="0"/>
          <w:sz w:val="32"/>
          <w:szCs w:val="32"/>
        </w:rPr>
        <w:t>工业园区绿色指数的计算方法如下面公式所示。</w:t>
      </w:r>
    </w:p>
    <w:p>
      <w:pPr>
        <w:pStyle w:val="a"/>
        <w:widowControl w:val="0"/>
        <w:tabs>
          <w:tab w:val="center" w:pos="4201"/>
          <w:tab w:val="right" w:leader="dot" w:pos="9298"/>
        </w:tabs>
        <w:ind w:firstLine="640"/>
        <w:rPr>
          <w:rFonts w:ascii="Times New Roman" w:eastAsia="仿宋_GB2312" w:hAnsi="Times New Roman" w:cs="Times New Roman" w:hint="default"/>
          <w:snapToGrid w:val="0"/>
          <w:sz w:val="32"/>
          <w:szCs w:val="32"/>
          <w:lang w:val="en-US"/>
        </w:rPr>
      </w:pPr>
      <w:r>
        <w:rPr>
          <w:rFonts w:ascii="黑体" w:eastAsia="黑体" w:hAnsi="黑体" w:cs="黑体" w:hint="eastAsia"/>
          <w:i w:val="0"/>
          <w:snapToGrid w:val="0"/>
          <w:position w:val="0"/>
          <w:sz w:val="32"/>
          <w:szCs w:val="32"/>
          <w:lang w:val="en-US" w:eastAsia="zh-CN" w:bidi="ar-S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23pt;height:39.99pt;mso-position-horizontal-relative:page;mso-position-vertical-relative:page;mso-wrap-style:square" o:oleicon="f" o:ole="" o:preferrelative="t" filled="f" stroked="f">
            <v:stroke linestyle="single"/>
            <v:imagedata r:id="rId4" o:title=""/>
            <v:path o:extrusionok="f"/>
            <o:lock v:ext="edit" aspectratio="t"/>
          </v:shape>
          <o:OLEObject Type="Embed" ProgID="Equation.KSEE3" ShapeID="对象 1" DrawAspect="Content" ObjectID="_1234567890" r:id="rId5"/>
        </w:object>
      </w:r>
    </w:p>
    <w:p>
      <w:pPr>
        <w:pStyle w:val="a"/>
        <w:widowControl w:val="0"/>
        <w:tabs>
          <w:tab w:val="center" w:pos="4201"/>
          <w:tab w:val="right" w:leader="dot" w:pos="9298"/>
        </w:tabs>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式中：</w:t>
      </w:r>
    </w:p>
    <w:p>
      <w:pPr>
        <w:pStyle w:val="a"/>
        <w:widowControl w:val="0"/>
        <w:tabs>
          <w:tab w:val="center" w:pos="4201"/>
          <w:tab w:val="right" w:leader="dot" w:pos="9298"/>
        </w:tabs>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position w:val="0"/>
          <w:sz w:val="32"/>
          <w:szCs w:val="32"/>
        </w:rPr>
        <w:object>
          <v:shape id="对象 2" o:spid="_x0000_i1026" type="#_x0000_t75" style="width:17.02pt;height:14.26pt;mso-position-horizontal-relative:page;mso-position-vertical-relative:page;mso-wrap-style:square" o:oleicon="f" o:ole="" o:preferrelative="t" filled="f" stroked="f">
            <v:stroke joinstyle="miter" linestyle="single"/>
            <v:imagedata r:id="rId6" o:title=""/>
            <v:path o:extrusionok="f"/>
            <o:lock v:ext="edit" aspectratio="t"/>
          </v:shape>
          <o:OLEObject Type="Embed" ProgID="Equation.DSMT4" ShapeID="对象 2" DrawAspect="Content" ObjectID="_1234567891" r:id="rId7"/>
        </w:object>
      </w:r>
      <w:r>
        <w:rPr>
          <w:rFonts w:ascii="Times New Roman" w:eastAsia="仿宋_GB2312" w:hAnsi="Times New Roman" w:cs="Times New Roman" w:hint="default"/>
          <w:snapToGrid w:val="0"/>
          <w:sz w:val="32"/>
          <w:szCs w:val="32"/>
        </w:rPr>
        <w:t>为工业园区绿色指数</w:t>
      </w:r>
      <w:r>
        <w:rPr>
          <w:rFonts w:ascii="Times New Roman" w:eastAsia="仿宋_GB2312" w:hAnsi="Times New Roman" w:cs="Times New Roman" w:hint="default"/>
          <w:snapToGrid w:val="0"/>
          <w:position w:val="0"/>
          <w:sz w:val="32"/>
          <w:szCs w:val="32"/>
        </w:rPr>
        <w:t>；</w:t>
      </w:r>
    </w:p>
    <w:p>
      <w:pPr>
        <w:pStyle w:val="a"/>
        <w:widowControl w:val="0"/>
        <w:tabs>
          <w:tab w:val="center" w:pos="4201"/>
          <w:tab w:val="right" w:leader="dot" w:pos="9298"/>
        </w:tabs>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position w:val="0"/>
          <w:sz w:val="32"/>
          <w:szCs w:val="32"/>
        </w:rPr>
        <w:object>
          <v:shape id="对象 3" o:spid="_x0000_i1027" type="#_x0000_t75" style="width:21.73pt;height:18.34pt;mso-position-horizontal-relative:page;mso-position-vertical-relative:page;mso-wrap-style:square" o:oleicon="f" o:ole="" o:preferrelative="t" filled="f" stroked="f">
            <v:stroke joinstyle="miter" linestyle="single"/>
            <v:imagedata r:id="rId8" o:title=""/>
            <v:path o:extrusionok="f"/>
            <o:lock v:ext="edit" aspectratio="t"/>
          </v:shape>
          <o:OLEObject Type="Embed" ProgID="Equation.DSMT4" ShapeID="对象 3" DrawAspect="Content" ObjectID="_1234567892" r:id="rId9"/>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4" o:spid="_x0000_i1028"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4" DrawAspect="Content" ObjectID="_1234567893" r:id="rId11"/>
        </w:object>
      </w:r>
      <w:r>
        <w:rPr>
          <w:rFonts w:ascii="Times New Roman" w:eastAsia="仿宋_GB2312" w:hAnsi="Times New Roman" w:cs="Times New Roman" w:hint="default"/>
          <w:snapToGrid w:val="0"/>
          <w:sz w:val="32"/>
          <w:szCs w:val="32"/>
        </w:rPr>
        <w:t>项能源利用绿色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指标值；</w:t>
      </w:r>
      <w:r>
        <w:rPr>
          <w:rFonts w:ascii="Times New Roman" w:eastAsia="仿宋_GB2312" w:hAnsi="Times New Roman" w:cs="Times New Roman" w:hint="default"/>
          <w:snapToGrid w:val="0"/>
          <w:position w:val="0"/>
          <w:sz w:val="32"/>
          <w:szCs w:val="32"/>
        </w:rPr>
        <w:object>
          <v:shape id="对象 5" o:spid="_x0000_i1029" type="#_x0000_t75" style="width:24.45pt;height:18.34pt;mso-position-horizontal-relative:page;mso-position-vertical-relative:page;mso-wrap-style:square" o:oleicon="f" o:ole="" o:preferrelative="t" filled="f" stroked="f">
            <v:stroke joinstyle="miter" linestyle="single"/>
            <v:imagedata r:id="rId12" o:title=""/>
            <v:path o:extrusionok="f"/>
            <o:lock v:ext="edit" aspectratio="t"/>
          </v:shape>
          <o:OLEObject Type="Embed" ProgID="Equation.DSMT4" ShapeID="对象 5" DrawAspect="Content" ObjectID="_1234567894" r:id="rId13"/>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6" o:spid="_x0000_i1030"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6" DrawAspect="Content" ObjectID="_1234567895" r:id="rId14"/>
        </w:object>
      </w:r>
      <w:r>
        <w:rPr>
          <w:rFonts w:ascii="Times New Roman" w:eastAsia="仿宋_GB2312" w:hAnsi="Times New Roman" w:cs="Times New Roman" w:hint="default"/>
          <w:snapToGrid w:val="0"/>
          <w:sz w:val="32"/>
          <w:szCs w:val="32"/>
        </w:rPr>
        <w:t>项能源利用绿色指标</w:t>
      </w:r>
      <w:r>
        <w:rPr>
          <w:rFonts w:ascii="Times New Roman" w:eastAsia="仿宋_GB2312" w:hAnsi="Times New Roman" w:cs="Times New Roman" w:hint="default"/>
          <w:snapToGrid w:val="0"/>
          <w:sz w:val="32"/>
          <w:szCs w:val="32"/>
          <w:lang w:val="en-US" w:eastAsia="zh-CN"/>
        </w:rPr>
        <w:t>引领</w:t>
      </w:r>
      <w:r>
        <w:rPr>
          <w:rFonts w:ascii="Times New Roman" w:eastAsia="仿宋_GB2312" w:hAnsi="Times New Roman" w:cs="Times New Roman" w:hint="default"/>
          <w:snapToGrid w:val="0"/>
          <w:sz w:val="32"/>
          <w:szCs w:val="32"/>
        </w:rPr>
        <w:t>值；</w:t>
      </w:r>
    </w:p>
    <w:p>
      <w:pPr>
        <w:pStyle w:val="a"/>
        <w:widowControl w:val="0"/>
        <w:tabs>
          <w:tab w:val="center" w:pos="4201"/>
          <w:tab w:val="right" w:leader="dot" w:pos="9298"/>
        </w:tabs>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position w:val="0"/>
          <w:sz w:val="32"/>
          <w:szCs w:val="32"/>
        </w:rPr>
        <w:object>
          <v:shape id="对象 7" o:spid="_x0000_i1031" type="#_x0000_t75" style="width:21.73pt;height:18.34pt;mso-position-horizontal-relative:page;mso-position-vertical-relative:page;mso-wrap-style:square" o:oleicon="f" o:ole="" o:preferrelative="t" filled="f" stroked="f">
            <v:stroke joinstyle="miter" linestyle="single"/>
            <v:imagedata r:id="rId15" o:title=""/>
            <v:path o:extrusionok="f"/>
            <o:lock v:ext="edit" aspectratio="t"/>
          </v:shape>
          <o:OLEObject Type="Embed" ProgID="Equation.DSMT4" ShapeID="对象 7" DrawAspect="Content" ObjectID="_1234567896" r:id="rId16"/>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8" o:spid="_x0000_i1032"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8" DrawAspect="Content" ObjectID="_1234567897" r:id="rId17"/>
        </w:object>
      </w:r>
      <w:r>
        <w:rPr>
          <w:rFonts w:ascii="Times New Roman" w:eastAsia="仿宋_GB2312" w:hAnsi="Times New Roman" w:cs="Times New Roman" w:hint="default"/>
          <w:snapToGrid w:val="0"/>
          <w:sz w:val="32"/>
          <w:szCs w:val="32"/>
        </w:rPr>
        <w:t>项资源利用绿色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指标值，</w:t>
      </w:r>
      <w:r>
        <w:rPr>
          <w:rFonts w:ascii="Times New Roman" w:eastAsia="仿宋_GB2312" w:hAnsi="Times New Roman" w:cs="Times New Roman" w:hint="default"/>
          <w:snapToGrid w:val="0"/>
          <w:position w:val="0"/>
          <w:sz w:val="32"/>
          <w:szCs w:val="32"/>
        </w:rPr>
        <w:object>
          <v:shape id="对象 9" o:spid="_x0000_i1033" type="#_x0000_t75" style="width:24.45pt;height:18.34pt;mso-position-horizontal-relative:page;mso-position-vertical-relative:page;mso-wrap-style:square" o:oleicon="f" o:ole="" o:preferrelative="t" filled="f" stroked="f">
            <v:stroke joinstyle="miter" linestyle="single"/>
            <v:imagedata r:id="rId18" o:title=""/>
            <v:path o:extrusionok="f"/>
            <o:lock v:ext="edit" aspectratio="t"/>
          </v:shape>
          <o:OLEObject Type="Embed" ProgID="Equation.DSMT4" ShapeID="对象 9" DrawAspect="Content" ObjectID="_1234567898" r:id="rId19"/>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10" o:spid="_x0000_i1034"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10" DrawAspect="Content" ObjectID="_1234567899" r:id="rId20"/>
        </w:object>
      </w:r>
      <w:r>
        <w:rPr>
          <w:rFonts w:ascii="Times New Roman" w:eastAsia="仿宋_GB2312" w:hAnsi="Times New Roman" w:cs="Times New Roman" w:hint="default"/>
          <w:snapToGrid w:val="0"/>
          <w:sz w:val="32"/>
          <w:szCs w:val="32"/>
        </w:rPr>
        <w:t>项资源利用绿色指标</w:t>
      </w:r>
      <w:r>
        <w:rPr>
          <w:rFonts w:ascii="Times New Roman" w:eastAsia="仿宋_GB2312" w:hAnsi="Times New Roman" w:cs="Times New Roman" w:hint="default"/>
          <w:snapToGrid w:val="0"/>
          <w:sz w:val="32"/>
          <w:szCs w:val="32"/>
          <w:lang w:val="en-US" w:eastAsia="zh-CN"/>
        </w:rPr>
        <w:t>引领</w:t>
      </w:r>
      <w:r>
        <w:rPr>
          <w:rFonts w:ascii="Times New Roman" w:eastAsia="仿宋_GB2312" w:hAnsi="Times New Roman" w:cs="Times New Roman" w:hint="default"/>
          <w:snapToGrid w:val="0"/>
          <w:sz w:val="32"/>
          <w:szCs w:val="32"/>
        </w:rPr>
        <w:t>值；</w:t>
      </w:r>
    </w:p>
    <w:p>
      <w:pPr>
        <w:pStyle w:val="a"/>
        <w:widowControl w:val="0"/>
        <w:tabs>
          <w:tab w:val="center" w:pos="4201"/>
          <w:tab w:val="right" w:leader="dot" w:pos="9298"/>
        </w:tabs>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position w:val="0"/>
          <w:sz w:val="32"/>
          <w:szCs w:val="32"/>
        </w:rPr>
        <w:object>
          <v:shape id="对象 11" o:spid="_x0000_i1035" type="#_x0000_t75" style="width:18.99pt;height:18.34pt;mso-position-horizontal-relative:page;mso-position-vertical-relative:page;mso-wrap-style:square" o:oleicon="f" o:ole="" o:preferrelative="t" filled="f" stroked="f">
            <v:stroke joinstyle="miter" linestyle="single"/>
            <v:imagedata r:id="rId21" o:title=""/>
            <v:path o:extrusionok="f"/>
            <o:lock v:ext="edit" aspectratio="t"/>
          </v:shape>
          <o:OLEObject Type="Embed" ProgID="Equation.DSMT4" ShapeID="对象 11" DrawAspect="Content" ObjectID="_1234567900" r:id="rId22"/>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12" o:spid="_x0000_i1036"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12" DrawAspect="Content" ObjectID="_1234567901" r:id="rId23"/>
        </w:object>
      </w:r>
      <w:r>
        <w:rPr>
          <w:rFonts w:ascii="Times New Roman" w:eastAsia="仿宋_GB2312" w:hAnsi="Times New Roman" w:cs="Times New Roman" w:hint="default"/>
          <w:snapToGrid w:val="0"/>
          <w:sz w:val="32"/>
          <w:szCs w:val="32"/>
        </w:rPr>
        <w:t>项基础设施绿色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指标值，</w:t>
      </w:r>
      <w:r>
        <w:rPr>
          <w:rFonts w:ascii="Times New Roman" w:eastAsia="仿宋_GB2312" w:hAnsi="Times New Roman" w:cs="Times New Roman" w:hint="default"/>
          <w:snapToGrid w:val="0"/>
          <w:position w:val="0"/>
          <w:sz w:val="32"/>
          <w:szCs w:val="32"/>
        </w:rPr>
        <w:object>
          <v:shape id="对象 13" o:spid="_x0000_i1037" type="#_x0000_t75" style="width:21.73pt;height:18.34pt;mso-position-horizontal-relative:page;mso-position-vertical-relative:page;mso-wrap-style:square" o:oleicon="f" o:ole="" o:preferrelative="t" filled="f" stroked="f">
            <v:stroke joinstyle="miter" linestyle="single"/>
            <v:imagedata r:id="rId24" o:title=""/>
            <v:path o:extrusionok="f"/>
            <o:lock v:ext="edit" aspectratio="t"/>
          </v:shape>
          <o:OLEObject Type="Embed" ProgID="Equation.DSMT4" ShapeID="对象 13" DrawAspect="Content" ObjectID="_1234567902" r:id="rId25"/>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14" o:spid="_x0000_i1038"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14" DrawAspect="Content" ObjectID="_1234567903" r:id="rId26"/>
        </w:object>
      </w:r>
      <w:r>
        <w:rPr>
          <w:rFonts w:ascii="Times New Roman" w:eastAsia="仿宋_GB2312" w:hAnsi="Times New Roman" w:cs="Times New Roman" w:hint="default"/>
          <w:snapToGrid w:val="0"/>
          <w:sz w:val="32"/>
          <w:szCs w:val="32"/>
        </w:rPr>
        <w:t>项基础设施绿色指标</w:t>
      </w:r>
      <w:r>
        <w:rPr>
          <w:rFonts w:ascii="Times New Roman" w:eastAsia="仿宋_GB2312" w:hAnsi="Times New Roman" w:cs="Times New Roman" w:hint="default"/>
          <w:snapToGrid w:val="0"/>
          <w:sz w:val="32"/>
          <w:szCs w:val="32"/>
          <w:lang w:val="en-US" w:eastAsia="zh-CN"/>
        </w:rPr>
        <w:t>引领</w:t>
      </w:r>
      <w:r>
        <w:rPr>
          <w:rFonts w:ascii="Times New Roman" w:eastAsia="仿宋_GB2312" w:hAnsi="Times New Roman" w:cs="Times New Roman" w:hint="default"/>
          <w:snapToGrid w:val="0"/>
          <w:sz w:val="32"/>
          <w:szCs w:val="32"/>
        </w:rPr>
        <w:t>值；</w:t>
      </w:r>
    </w:p>
    <w:p>
      <w:pPr>
        <w:pStyle w:val="a"/>
        <w:widowControl w:val="0"/>
        <w:tabs>
          <w:tab w:val="center" w:pos="4201"/>
          <w:tab w:val="right" w:leader="dot" w:pos="9298"/>
        </w:tabs>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position w:val="0"/>
          <w:sz w:val="32"/>
          <w:szCs w:val="32"/>
        </w:rPr>
        <w:object>
          <v:shape id="对象 15" o:spid="_x0000_i1039" type="#_x0000_t75" style="width:21.73pt;height:18.34pt;mso-position-horizontal-relative:page;mso-position-vertical-relative:page;mso-wrap-style:square" o:oleicon="f" o:ole="" o:preferrelative="t" filled="f" stroked="f">
            <v:stroke joinstyle="miter" linestyle="single"/>
            <v:imagedata r:id="rId27" o:title=""/>
            <v:path o:extrusionok="f"/>
            <o:lock v:ext="edit" aspectratio="t"/>
          </v:shape>
          <o:OLEObject Type="Embed" ProgID="Equation.DSMT4" ShapeID="对象 15" DrawAspect="Content" ObjectID="_1234567904" r:id="rId28"/>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16" o:spid="_x0000_i1040"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16" DrawAspect="Content" ObjectID="_1234567905" r:id="rId29"/>
        </w:object>
      </w:r>
      <w:r>
        <w:rPr>
          <w:rFonts w:ascii="Times New Roman" w:eastAsia="仿宋_GB2312" w:hAnsi="Times New Roman" w:cs="Times New Roman" w:hint="default"/>
          <w:snapToGrid w:val="0"/>
          <w:sz w:val="32"/>
          <w:szCs w:val="32"/>
        </w:rPr>
        <w:t>项产业绿色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指标值，</w:t>
      </w:r>
      <w:r>
        <w:rPr>
          <w:rFonts w:ascii="Times New Roman" w:eastAsia="仿宋_GB2312" w:hAnsi="Times New Roman" w:cs="Times New Roman" w:hint="default"/>
          <w:snapToGrid w:val="0"/>
          <w:position w:val="0"/>
          <w:sz w:val="32"/>
          <w:szCs w:val="32"/>
        </w:rPr>
        <w:object>
          <v:shape id="对象 17" o:spid="_x0000_i1041" type="#_x0000_t75" style="width:24.45pt;height:18.34pt;mso-position-horizontal-relative:page;mso-position-vertical-relative:page;mso-wrap-style:square" o:oleicon="f" o:ole="" o:preferrelative="t" filled="f" stroked="f">
            <v:stroke joinstyle="miter" linestyle="single"/>
            <v:imagedata r:id="rId30" o:title=""/>
            <v:path o:extrusionok="f"/>
            <o:lock v:ext="edit" aspectratio="t"/>
          </v:shape>
          <o:OLEObject Type="Embed" ProgID="Equation.DSMT4" ShapeID="对象 17" DrawAspect="Content" ObjectID="_1234567906" r:id="rId31"/>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18" o:spid="_x0000_i1042"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18" DrawAspect="Content" ObjectID="_1234567907" r:id="rId32"/>
        </w:object>
      </w:r>
      <w:r>
        <w:rPr>
          <w:rFonts w:ascii="Times New Roman" w:eastAsia="仿宋_GB2312" w:hAnsi="Times New Roman" w:cs="Times New Roman" w:hint="default"/>
          <w:snapToGrid w:val="0"/>
          <w:sz w:val="32"/>
          <w:szCs w:val="32"/>
        </w:rPr>
        <w:t>项产业绿色指标</w:t>
      </w:r>
      <w:r>
        <w:rPr>
          <w:rFonts w:ascii="Times New Roman" w:eastAsia="仿宋_GB2312" w:hAnsi="Times New Roman" w:cs="Times New Roman" w:hint="default"/>
          <w:snapToGrid w:val="0"/>
          <w:sz w:val="32"/>
          <w:szCs w:val="32"/>
          <w:lang w:val="en-US" w:eastAsia="zh-CN"/>
        </w:rPr>
        <w:t>引领</w:t>
      </w:r>
      <w:r>
        <w:rPr>
          <w:rFonts w:ascii="Times New Roman" w:eastAsia="仿宋_GB2312" w:hAnsi="Times New Roman" w:cs="Times New Roman" w:hint="default"/>
          <w:snapToGrid w:val="0"/>
          <w:sz w:val="32"/>
          <w:szCs w:val="32"/>
        </w:rPr>
        <w:t>值；</w:t>
      </w:r>
    </w:p>
    <w:p>
      <w:pPr>
        <w:pStyle w:val="a"/>
        <w:widowControl w:val="0"/>
        <w:tabs>
          <w:tab w:val="center" w:pos="4201"/>
          <w:tab w:val="right" w:leader="dot" w:pos="9298"/>
        </w:tabs>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position w:val="0"/>
          <w:sz w:val="32"/>
          <w:szCs w:val="32"/>
        </w:rPr>
        <w:object>
          <v:shape id="对象 19" o:spid="_x0000_i1043" type="#_x0000_t75" style="width:23.09pt;height:18.34pt;mso-position-horizontal-relative:page;mso-position-vertical-relative:page;mso-wrap-style:square" o:oleicon="f" o:ole="" o:preferrelative="t" filled="f" stroked="f">
            <v:stroke joinstyle="miter" linestyle="single"/>
            <v:imagedata r:id="rId33" o:title=""/>
            <v:path o:extrusionok="f"/>
            <o:lock v:ext="edit" aspectratio="t"/>
          </v:shape>
          <o:OLEObject Type="Embed" ProgID="Equation.DSMT4" ShapeID="对象 19" DrawAspect="Content" ObjectID="_1234567908" r:id="rId34"/>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20" o:spid="_x0000_i1044"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20" DrawAspect="Content" ObjectID="_1234567909" r:id="rId35"/>
        </w:object>
      </w:r>
      <w:r>
        <w:rPr>
          <w:rFonts w:ascii="Times New Roman" w:eastAsia="仿宋_GB2312" w:hAnsi="Times New Roman" w:cs="Times New Roman" w:hint="default"/>
          <w:snapToGrid w:val="0"/>
          <w:sz w:val="32"/>
          <w:szCs w:val="32"/>
        </w:rPr>
        <w:t>项生态环境绿色指标值，</w:t>
      </w:r>
      <w:r>
        <w:rPr>
          <w:rFonts w:ascii="Times New Roman" w:eastAsia="仿宋_GB2312" w:hAnsi="Times New Roman" w:cs="Times New Roman" w:hint="default"/>
          <w:snapToGrid w:val="0"/>
          <w:position w:val="0"/>
          <w:sz w:val="32"/>
          <w:szCs w:val="32"/>
        </w:rPr>
        <w:object>
          <v:shape id="对象 21" o:spid="_x0000_i1045" type="#_x0000_t75" style="width:27.14pt;height:18.34pt;mso-position-horizontal-relative:page;mso-position-vertical-relative:page;mso-wrap-style:square" o:oleicon="f" o:ole="" o:preferrelative="t" filled="f" stroked="f">
            <v:stroke joinstyle="miter" linestyle="single"/>
            <v:imagedata r:id="rId36" o:title=""/>
            <v:path o:extrusionok="f"/>
            <o:lock v:ext="edit" aspectratio="t"/>
          </v:shape>
          <o:OLEObject Type="Embed" ProgID="Equation.DSMT4" ShapeID="对象 21" DrawAspect="Content" ObjectID="_1234567910" r:id="rId37"/>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22" o:spid="_x0000_i1046"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22" DrawAspect="Content" ObjectID="_1234567911" r:id="rId38"/>
        </w:object>
      </w:r>
      <w:r>
        <w:rPr>
          <w:rFonts w:ascii="Times New Roman" w:eastAsia="仿宋_GB2312" w:hAnsi="Times New Roman" w:cs="Times New Roman" w:hint="default"/>
          <w:snapToGrid w:val="0"/>
          <w:sz w:val="32"/>
          <w:szCs w:val="32"/>
        </w:rPr>
        <w:t>项生态环境绿色指标</w:t>
      </w:r>
      <w:r>
        <w:rPr>
          <w:rFonts w:ascii="Times New Roman" w:eastAsia="仿宋_GB2312" w:hAnsi="Times New Roman" w:cs="Times New Roman" w:hint="default"/>
          <w:snapToGrid w:val="0"/>
          <w:sz w:val="32"/>
          <w:szCs w:val="32"/>
          <w:lang w:val="en-US" w:eastAsia="zh-CN"/>
        </w:rPr>
        <w:t>引领</w:t>
      </w:r>
      <w:r>
        <w:rPr>
          <w:rFonts w:ascii="Times New Roman" w:eastAsia="仿宋_GB2312" w:hAnsi="Times New Roman" w:cs="Times New Roman" w:hint="default"/>
          <w:snapToGrid w:val="0"/>
          <w:sz w:val="32"/>
          <w:szCs w:val="32"/>
        </w:rPr>
        <w:t>值；</w:t>
      </w:r>
    </w:p>
    <w:p>
      <w:pPr>
        <w:pStyle w:val="a"/>
        <w:widowControl w:val="0"/>
        <w:tabs>
          <w:tab w:val="center" w:pos="4201"/>
          <w:tab w:val="right" w:leader="dot" w:pos="9298"/>
        </w:tabs>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position w:val="0"/>
          <w:sz w:val="32"/>
          <w:szCs w:val="32"/>
        </w:rPr>
        <w:object>
          <v:shape id="对象 23" o:spid="_x0000_i1047" type="#_x0000_t75" style="width:23.76pt;height:18.34pt;mso-position-horizontal-relative:page;mso-position-vertical-relative:page;mso-wrap-style:square" o:oleicon="f" o:ole="" o:preferrelative="t" filled="f" stroked="f">
            <v:stroke joinstyle="miter" linestyle="single"/>
            <v:imagedata r:id="rId39" o:title=""/>
            <v:path o:extrusionok="f"/>
            <o:lock v:ext="edit" aspectratio="t"/>
          </v:shape>
          <o:OLEObject Type="Embed" ProgID="Equation.DSMT4" ShapeID="对象 23" DrawAspect="Content" ObjectID="_1234567912" r:id="rId40"/>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24" o:spid="_x0000_i1048"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24" DrawAspect="Content" ObjectID="_1234567913" r:id="rId41"/>
        </w:object>
      </w:r>
      <w:r>
        <w:rPr>
          <w:rFonts w:ascii="Times New Roman" w:eastAsia="仿宋_GB2312" w:hAnsi="Times New Roman" w:cs="Times New Roman" w:hint="default"/>
          <w:snapToGrid w:val="0"/>
          <w:sz w:val="32"/>
          <w:szCs w:val="32"/>
        </w:rPr>
        <w:t>项运行管理绿色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指标值，</w:t>
      </w:r>
      <w:r>
        <w:rPr>
          <w:rFonts w:ascii="Times New Roman" w:eastAsia="仿宋_GB2312" w:hAnsi="Times New Roman" w:cs="Times New Roman" w:hint="default"/>
          <w:snapToGrid w:val="0"/>
          <w:position w:val="0"/>
          <w:sz w:val="32"/>
          <w:szCs w:val="32"/>
        </w:rPr>
        <w:object>
          <v:shape id="对象 25" o:spid="_x0000_i1049" type="#_x0000_t75" style="width:27.84pt;height:18.34pt;mso-position-horizontal-relative:page;mso-position-vertical-relative:page;mso-wrap-style:square" o:oleicon="f" o:ole="" o:preferrelative="t" filled="f" stroked="f">
            <v:stroke joinstyle="miter" linestyle="single"/>
            <v:imagedata r:id="rId42" o:title=""/>
            <v:path o:extrusionok="f"/>
            <o:lock v:ext="edit" aspectratio="t"/>
          </v:shape>
          <o:OLEObject Type="Embed" ProgID="Equation.DSMT4" ShapeID="对象 25" DrawAspect="Content" ObjectID="_1234567914" r:id="rId43"/>
        </w:object>
      </w:r>
      <w:r>
        <w:rPr>
          <w:rFonts w:ascii="Times New Roman" w:eastAsia="仿宋_GB2312" w:hAnsi="Times New Roman" w:cs="Times New Roman" w:hint="default"/>
          <w:snapToGrid w:val="0"/>
          <w:sz w:val="32"/>
          <w:szCs w:val="32"/>
        </w:rPr>
        <w:t>为第</w:t>
      </w:r>
      <w:r>
        <w:rPr>
          <w:rFonts w:ascii="Times New Roman" w:eastAsia="仿宋_GB2312" w:hAnsi="Times New Roman" w:cs="Times New Roman" w:hint="default"/>
          <w:snapToGrid w:val="0"/>
          <w:position w:val="0"/>
          <w:sz w:val="32"/>
          <w:szCs w:val="32"/>
        </w:rPr>
        <w:object>
          <v:shape id="对象 26" o:spid="_x0000_i1050" type="#_x0000_t75" style="width:6.81pt;height:12.92pt;mso-position-horizontal-relative:page;mso-position-vertical-relative:page;mso-wrap-style:square" o:oleicon="f" o:ole="" o:preferrelative="t" filled="f" stroked="f">
            <v:stroke joinstyle="miter" linestyle="single"/>
            <v:imagedata r:id="rId10" o:title=""/>
            <v:path o:extrusionok="f"/>
            <o:lock v:ext="edit" aspectratio="t"/>
          </v:shape>
          <o:OLEObject Type="Embed" ProgID="Equation.DSMT4" ShapeID="对象 26" DrawAspect="Content" ObjectID="_1234567915" r:id="rId44"/>
        </w:object>
      </w:r>
      <w:r>
        <w:rPr>
          <w:rFonts w:ascii="Times New Roman" w:eastAsia="仿宋_GB2312" w:hAnsi="Times New Roman" w:cs="Times New Roman" w:hint="default"/>
          <w:snapToGrid w:val="0"/>
          <w:sz w:val="32"/>
          <w:szCs w:val="32"/>
        </w:rPr>
        <w:t>项运行管理绿色指标</w:t>
      </w:r>
      <w:r>
        <w:rPr>
          <w:rFonts w:ascii="Times New Roman" w:eastAsia="仿宋_GB2312" w:hAnsi="Times New Roman" w:cs="Times New Roman" w:hint="default"/>
          <w:snapToGrid w:val="0"/>
          <w:sz w:val="32"/>
          <w:szCs w:val="32"/>
          <w:lang w:val="en-US" w:eastAsia="zh-CN"/>
        </w:rPr>
        <w:t>引领</w:t>
      </w:r>
      <w:r>
        <w:rPr>
          <w:rFonts w:ascii="Times New Roman" w:eastAsia="仿宋_GB2312" w:hAnsi="Times New Roman" w:cs="Times New Roman" w:hint="default"/>
          <w:snapToGrid w:val="0"/>
          <w:sz w:val="32"/>
          <w:szCs w:val="32"/>
        </w:rPr>
        <w:t>值。</w:t>
      </w:r>
    </w:p>
    <w:p>
      <w:pPr>
        <w:pStyle w:val="a"/>
        <w:widowControl w:val="0"/>
        <w:tabs>
          <w:tab w:val="center" w:pos="4201"/>
          <w:tab w:val="right" w:leader="dot" w:pos="9298"/>
        </w:tabs>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二、能源利用</w:t>
      </w:r>
      <w:r>
        <w:rPr>
          <w:rFonts w:ascii="Times New Roman" w:eastAsia="黑体" w:hAnsi="Times New Roman" w:cs="Times New Roman" w:hint="default"/>
          <w:bCs/>
          <w:snapToGrid w:val="0"/>
          <w:sz w:val="32"/>
          <w:szCs w:val="32"/>
          <w:lang w:val="en-US" w:eastAsia="zh-CN"/>
        </w:rPr>
        <w:t>化</w:t>
      </w:r>
      <w:r>
        <w:rPr>
          <w:rFonts w:ascii="Times New Roman" w:eastAsia="黑体" w:hAnsi="Times New Roman" w:cs="Times New Roman" w:hint="default"/>
          <w:bCs/>
          <w:snapToGrid w:val="0"/>
          <w:sz w:val="32"/>
          <w:szCs w:val="32"/>
        </w:rPr>
        <w:t>绿色指标（3个必选指标）</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能源利用绿色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指标包括能源产出率和可再生能源使用比例、清洁能源使用率3个必选指标。</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（一）能源产出率（必选）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：指报告期内园区工业增加值与能源消耗总量的比值，该项指标越大，表明能源产出效率越高。能源主要包括原煤、原油、天然气、核电、水电、风电等一次能源。 工业增加值采用2010年不变价，下同。</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能源产出率= 园区工业增加值（万元不变价）/能源综合消耗总量（tce）。</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（二）可再生能源使用比例（必选）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园区内工业企业的可再生能源使用量与综合能耗总量的比值。可再生能源包括太阳能、水能、生物质能、地热能、氢能、波浪能等非化石能源。</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可再生能源使用比例（%）=工业企业可再生能源使用量（tce）/工业企业综合能耗总量（tce）x100%。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（三）清洁能源使用率（必选）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清洁能源使用率（%）=清洁能源使用量（tce）/终端能源消费总量（tce）</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三、资源利用绿色</w:t>
      </w:r>
      <w:r>
        <w:rPr>
          <w:rFonts w:ascii="Times New Roman" w:eastAsia="黑体" w:hAnsi="Times New Roman" w:cs="Times New Roman" w:hint="default"/>
          <w:bCs/>
          <w:snapToGrid w:val="0"/>
          <w:sz w:val="32"/>
          <w:szCs w:val="32"/>
          <w:lang w:val="en-US" w:eastAsia="zh-CN"/>
        </w:rPr>
        <w:t>化</w:t>
      </w:r>
      <w:r>
        <w:rPr>
          <w:rFonts w:ascii="Times New Roman" w:eastAsia="黑体" w:hAnsi="Times New Roman" w:cs="Times New Roman" w:hint="default"/>
          <w:bCs/>
          <w:snapToGrid w:val="0"/>
          <w:sz w:val="32"/>
          <w:szCs w:val="32"/>
        </w:rPr>
        <w:t>指标（4个必选指标+2个可选指标）</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资源利用绿色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（一）水资源产出率（必选）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水资源产出率= 园区工业增加值（万元不变价）/园区工业用新鲜水量（m</w:t>
      </w:r>
      <w:r>
        <w:rPr>
          <w:rFonts w:ascii="Times New Roman" w:eastAsia="仿宋_GB2312" w:hAnsi="Times New Roman" w:cs="Times New Roman" w:hint="default"/>
          <w:snapToGrid w:val="0"/>
          <w:sz w:val="32"/>
          <w:szCs w:val="32"/>
          <w:vertAlign w:val="superscript"/>
        </w:rPr>
        <w:t>3</w:t>
      </w:r>
      <w:r>
        <w:rPr>
          <w:rFonts w:ascii="Times New Roman" w:eastAsia="仿宋_GB2312" w:hAnsi="Times New Roman" w:cs="Times New Roman" w:hint="default"/>
          <w:snapToGrid w:val="0"/>
          <w:sz w:val="32"/>
          <w:szCs w:val="32"/>
        </w:rPr>
        <w:t>）。</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（二）土地资源产出率（必选）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土地产出率=园区工业增加值（万元不变价）/园区工业用地面积（km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（三）工业固体废弃物综合利用率（必选）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工业固体废弃物综合利用率=工业固体废弃物综合利用量（t）/（工业固体废弃物产生量+综合利用往年贮存量(t)）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（四）工业用水重复利用率（必选）</w:t>
      </w:r>
    </w:p>
    <w:p>
      <w:pPr>
        <w:ind w:firstLine="474" w:firstLineChars="148"/>
        <w:jc w:val="left"/>
        <w:rPr>
          <w:rFonts w:ascii="Times New Roman" w:eastAsia="仿宋_GB2312" w:hAnsi="Times New Roman" w:cs="Times New Roman" w:hint="default"/>
          <w:snapToGrid w:val="0"/>
          <w:sz w:val="32"/>
          <w:szCs w:val="32"/>
          <w:lang w:val="en-US" w:eastAsia="zh-CN"/>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：指工业重复用水量占工业用水总量的百分</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工业用水重复利用率=工业重复用水量（m</w:t>
      </w:r>
      <w:r>
        <w:rPr>
          <w:rFonts w:ascii="Times New Roman" w:eastAsia="仿宋_GB2312" w:hAnsi="Times New Roman" w:cs="Times New Roman" w:hint="default"/>
          <w:snapToGrid w:val="0"/>
          <w:sz w:val="32"/>
          <w:szCs w:val="32"/>
          <w:vertAlign w:val="superscript"/>
        </w:rPr>
        <w:t>3</w:t>
      </w:r>
      <w:r>
        <w:rPr>
          <w:rFonts w:ascii="Times New Roman" w:eastAsia="仿宋_GB2312" w:hAnsi="Times New Roman" w:cs="Times New Roman" w:hint="default"/>
          <w:snapToGrid w:val="0"/>
          <w:sz w:val="32"/>
          <w:szCs w:val="32"/>
        </w:rPr>
        <w:t>）/工业用水总量（m</w:t>
      </w:r>
      <w:r>
        <w:rPr>
          <w:rFonts w:ascii="Times New Roman" w:eastAsia="仿宋_GB2312" w:hAnsi="Times New Roman" w:cs="Times New Roman" w:hint="default"/>
          <w:snapToGrid w:val="0"/>
          <w:sz w:val="32"/>
          <w:szCs w:val="32"/>
          <w:vertAlign w:val="superscript"/>
        </w:rPr>
        <w:t>3</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（五）中水回用率（可选）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指园区内再生水的回用量与污水处理厂处理量的比值。其中，再生水（中水）是指二级达标水经再生工艺净化处理后，达到中水水质指标要求，满足某种使用要求的水。</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：中水</w:t>
      </w:r>
      <w:r>
        <w:rPr>
          <w:rFonts w:ascii="Times New Roman" w:eastAsia="仿宋_GB2312" w:hAnsi="Times New Roman" w:cs="Times New Roman" w:hint="eastAsia"/>
          <w:snapToGrid w:val="0"/>
          <w:sz w:val="32"/>
          <w:szCs w:val="32"/>
          <w:lang w:eastAsia="zh-CN"/>
        </w:rPr>
        <w:t>回</w:t>
      </w:r>
      <w:r>
        <w:rPr>
          <w:rFonts w:ascii="Times New Roman" w:eastAsia="仿宋_GB2312" w:hAnsi="Times New Roman" w:cs="Times New Roman" w:hint="default"/>
          <w:snapToGrid w:val="0"/>
          <w:sz w:val="32"/>
          <w:szCs w:val="32"/>
        </w:rPr>
        <w:t>用率（%）=园区再生水（中水）回用量（万吨）/园区污水处理厂处理量（万吨）</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（六）余热资源回收利用率（可选）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：余热资源回收利用率（%）=回收利用的余热资源量（kJ）/园区总余热资源量（kJ）</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（七）废气资源回收利用率（可选）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废气资源回收利用率（%）=回收利用的废气资源量（万m</w:t>
      </w:r>
      <w:r>
        <w:rPr>
          <w:rFonts w:ascii="Times New Roman" w:eastAsia="仿宋_GB2312" w:hAnsi="Times New Roman" w:cs="Times New Roman" w:hint="default"/>
          <w:snapToGrid w:val="0"/>
          <w:sz w:val="32"/>
          <w:szCs w:val="32"/>
          <w:vertAlign w:val="superscript"/>
        </w:rPr>
        <w:t>3</w:t>
      </w:r>
      <w:r>
        <w:rPr>
          <w:rFonts w:ascii="Times New Roman" w:eastAsia="仿宋_GB2312" w:hAnsi="Times New Roman" w:cs="Times New Roman" w:hint="default"/>
          <w:snapToGrid w:val="0"/>
          <w:sz w:val="32"/>
          <w:szCs w:val="32"/>
        </w:rPr>
        <w:t>）/园区可回收利用总废气资源量（万m</w:t>
      </w:r>
      <w:r>
        <w:rPr>
          <w:rFonts w:ascii="Times New Roman" w:eastAsia="仿宋_GB2312" w:hAnsi="Times New Roman" w:cs="Times New Roman" w:hint="default"/>
          <w:snapToGrid w:val="0"/>
          <w:sz w:val="32"/>
          <w:szCs w:val="32"/>
          <w:vertAlign w:val="superscript"/>
        </w:rPr>
        <w:t>3</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（八）再生资源回收利用率（可选）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再生资源回收利用率（%）=再生资源循环利用量（万吨）/再生资源收集量（万吨）</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四、基础设施绿色</w:t>
      </w:r>
      <w:r>
        <w:rPr>
          <w:rFonts w:ascii="Times New Roman" w:eastAsia="黑体" w:hAnsi="Times New Roman" w:cs="Times New Roman" w:hint="default"/>
          <w:bCs/>
          <w:snapToGrid w:val="0"/>
          <w:sz w:val="32"/>
          <w:szCs w:val="32"/>
          <w:lang w:val="en-US" w:eastAsia="zh-CN"/>
        </w:rPr>
        <w:t>化</w:t>
      </w:r>
      <w:r>
        <w:rPr>
          <w:rFonts w:ascii="Times New Roman" w:eastAsia="黑体" w:hAnsi="Times New Roman" w:cs="Times New Roman" w:hint="default"/>
          <w:bCs/>
          <w:snapToGrid w:val="0"/>
          <w:sz w:val="32"/>
          <w:szCs w:val="32"/>
        </w:rPr>
        <w:t>指标（1个必选指标+2个可选指标）</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基础设施绿色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（一）污水集中处理设施（必选）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园区内所有工业废水经预处理达到集中处理要求后进入安装有自动在线监控装置的污水集中处理设施（园区内或园区外）。</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（二）新建工业建筑中绿色建筑的比例（可选）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园区新建工业建筑中的绿色建筑是按照GB/T 50878-2013《绿色工业建筑评价标准》评价，获得二星及以上评级的工业建筑。</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新建工业建筑中绿色建筑的比例（%）=新建工业建筑中绿色建筑的面积（m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）/园区新建工业建筑面积</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（三）新建公共建筑中绿色建筑的比例（可选）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园区新建公共建筑中的绿色建筑是按照GB/T 50378-2014 《绿色建筑评价标准》评价，获得二星及以上评级的公共建筑。</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：新建公共建筑中绿色建筑的比例（%）=新建公共建筑中绿色建筑的面积（m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）/园区新建公共建筑面积</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（四）500米公交站点覆盖率（可选）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园区公共交通车站服务覆盖面积的总和占园区建成区面积的百分比。</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具体根据GB 50220计算。</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（五）节能与新能源公交车比例（可选）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节能与新能源公交车比例（%）=节能与新能源公交车数量（辆）/园区公交车总量（辆）</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五、产业绿色</w:t>
      </w:r>
      <w:r>
        <w:rPr>
          <w:rFonts w:ascii="Times New Roman" w:eastAsia="黑体" w:hAnsi="Times New Roman" w:cs="Times New Roman" w:hint="default"/>
          <w:bCs/>
          <w:snapToGrid w:val="0"/>
          <w:sz w:val="32"/>
          <w:szCs w:val="32"/>
          <w:lang w:val="en-US" w:eastAsia="zh-CN"/>
        </w:rPr>
        <w:t>化</w:t>
      </w:r>
      <w:r>
        <w:rPr>
          <w:rFonts w:ascii="Times New Roman" w:eastAsia="黑体" w:hAnsi="Times New Roman" w:cs="Times New Roman" w:hint="default"/>
          <w:bCs/>
          <w:snapToGrid w:val="0"/>
          <w:sz w:val="32"/>
          <w:szCs w:val="32"/>
        </w:rPr>
        <w:t>指标（2个必选指标+1个可选指标）</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产业绿色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（一）绿色产业增加值占园区工业增加值比例（必选）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园区内绿色产业的增加值与园区工业增加值的比值。其中，绿色产业增加值是依据国家统计局《战略性新兴产业分类（2012)》(试行)中关于节能环保产业和新能源产业的具体分类统计得到。</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绿色产业增加值占园区工业增加值比例（%）=绿色产业增加值（万元）/园区工业增加值（万元）</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（二）高新技术产业产值占园区工业总产值比例（必选）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园区内高新技术企业的工业总产值占园区工业总产值的比值。其中，高新技术企业是指依据《高新技术企业认定管理办法》认定的工业范畴的高新技术企业。</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高新技术产业产值占园区工业总产值比例</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（%）=高新技术企业的工业产值之和（万元）/工业园区工业总产值（万元）</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（三）人均工业增加值（可选）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园区工业增加值与园区内工业企业从业人数的比值。</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人均工业增加值（万元/人）=园区工业增加值（万元）/园区年末工业企业从业人数（人）。</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（四）现代服务业比例（可选）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现代服务业比例（%）=现代服务业增加值（万元）/园区GDP</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六、生态环境绿色</w:t>
      </w:r>
      <w:r>
        <w:rPr>
          <w:rFonts w:ascii="Times New Roman" w:eastAsia="黑体" w:hAnsi="Times New Roman" w:cs="Times New Roman" w:hint="default"/>
          <w:bCs/>
          <w:snapToGrid w:val="0"/>
          <w:sz w:val="32"/>
          <w:szCs w:val="32"/>
          <w:lang w:val="en-US" w:eastAsia="zh-CN"/>
        </w:rPr>
        <w:t>化</w:t>
      </w:r>
      <w:r>
        <w:rPr>
          <w:rFonts w:ascii="Times New Roman" w:eastAsia="黑体" w:hAnsi="Times New Roman" w:cs="Times New Roman" w:hint="default"/>
          <w:bCs/>
          <w:snapToGrid w:val="0"/>
          <w:sz w:val="32"/>
          <w:szCs w:val="32"/>
        </w:rPr>
        <w:t>指标（</w:t>
      </w:r>
      <w:r>
        <w:rPr>
          <w:rFonts w:ascii="Times New Roman" w:eastAsia="黑体" w:hAnsi="Times New Roman" w:cs="Times New Roman" w:hint="default"/>
          <w:bCs/>
          <w:snapToGrid w:val="0"/>
          <w:sz w:val="32"/>
          <w:szCs w:val="32"/>
          <w:lang w:val="en-US" w:eastAsia="zh-CN"/>
        </w:rPr>
        <w:t>5</w:t>
      </w:r>
      <w:r>
        <w:rPr>
          <w:rFonts w:ascii="Times New Roman" w:eastAsia="黑体" w:hAnsi="Times New Roman" w:cs="Times New Roman" w:hint="default"/>
          <w:bCs/>
          <w:snapToGrid w:val="0"/>
          <w:sz w:val="32"/>
          <w:szCs w:val="32"/>
        </w:rPr>
        <w:t>个必选指标+1个可选指标）</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生态环境绿色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（一）工业固体废弃物（含危废）处置利用率（必选）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园区范围内各工业企业安全处置、综合利用及安全贮存的工业固体废物量（含危险废物）之和与当年工业固体废物总产生量的比值。</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工业固体废弃物（含危废）处置利用率（%）=园区当年工业固体废物处置利用量（含危险废物）（t）/园区当年工业固体废物总产生量（t）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（二）万元工业增加值碳排放量消减率（必选）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园区内工业企业产生单位工业增加值所排放的二氧化碳当量的创建期年均消减率。创建期是指绿色园区创建周期。</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万元工业增加值碳排放量消减率（%）=[1-（验收年单位工业增加值二氧化碳排放量(tCO2eq./万元)/创建基准年单位工业增加值二氧化碳排放量(tCO2eq./万元)）</w:t>
      </w:r>
      <w:r>
        <w:rPr>
          <w:rFonts w:ascii="Times New Roman" w:eastAsia="仿宋_GB2312" w:hAnsi="Times New Roman" w:cs="Times New Roman" w:hint="default"/>
          <w:snapToGrid w:val="0"/>
          <w:sz w:val="32"/>
          <w:szCs w:val="32"/>
          <w:vertAlign w:val="superscript"/>
        </w:rPr>
        <w:t>1/创建周期</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（三）单位工业增加值废水排放量（必选）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指园区单位工业增加值排放的工业废水量，不包括企业梯级利用的废水和园区内居民排放的生活废水。</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：单位工业增加值废水排放量（t/万元）=园区工业废水排放总量（t）/园区工业增加值总量（万元）。</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（四）主要污染物弹性系数（必选）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：指园区内工业企业排放的各类主要污染物排放弹性系数的算术平均值。其中，主要污染物指从创建基准年到验收年，国家政策明确要求总量减排和控制的污染物，包括COD、SO</w:t>
      </w:r>
      <w:r>
        <w:rPr>
          <w:rFonts w:ascii="Times New Roman" w:eastAsia="仿宋_GB2312" w:hAnsi="Times New Roman" w:cs="Times New Roman" w:hint="default"/>
          <w:snapToGrid w:val="0"/>
          <w:sz w:val="32"/>
          <w:szCs w:val="32"/>
          <w:vertAlign w:val="subscript"/>
        </w:rPr>
        <w:t>2</w:t>
      </w:r>
      <w:r>
        <w:rPr>
          <w:rFonts w:ascii="Times New Roman" w:eastAsia="仿宋_GB2312" w:hAnsi="Times New Roman" w:cs="Times New Roman" w:hint="default"/>
          <w:snapToGrid w:val="0"/>
          <w:sz w:val="32"/>
          <w:szCs w:val="32"/>
        </w:rPr>
        <w:t>、氨氮、NO</w:t>
      </w:r>
      <w:r>
        <w:rPr>
          <w:rFonts w:ascii="Times New Roman" w:eastAsia="仿宋_GB2312" w:hAnsi="Times New Roman" w:cs="Times New Roman" w:hint="default"/>
          <w:snapToGrid w:val="0"/>
          <w:sz w:val="32"/>
          <w:szCs w:val="32"/>
          <w:vertAlign w:val="subscript"/>
        </w:rPr>
        <w:t>X</w:t>
      </w:r>
      <w:r>
        <w:rPr>
          <w:rFonts w:ascii="Times New Roman" w:eastAsia="仿宋_GB2312" w:hAnsi="Times New Roman" w:cs="Times New Roman" w:hint="default"/>
          <w:snapToGrid w:val="0"/>
          <w:sz w:val="32"/>
          <w:szCs w:val="32"/>
        </w:rPr>
        <w:t xml:space="preserve"> 等。某种主要污染物排放弹性系数，指园区内工业企业排放的某一种主要污染物排放总量的三年年均增长率与工业增加值三年年均增长率的比值。</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w:t>
      </w:r>
      <w:r>
        <w:rPr>
          <w:rFonts w:ascii="Times New Roman" w:eastAsia="楷体_GB2312" w:hAnsi="Times New Roman" w:cs="Times New Roman" w:hint="default"/>
          <w:snapToGrid w:val="0"/>
          <w:sz w:val="32"/>
          <w:szCs w:val="32"/>
          <w:lang w:val="en-US" w:eastAsia="zh-CN"/>
        </w:rPr>
        <w:t>五</w:t>
      </w:r>
      <w:r>
        <w:rPr>
          <w:rFonts w:ascii="Times New Roman" w:eastAsia="楷体_GB2312" w:hAnsi="Times New Roman" w:cs="Times New Roman" w:hint="default"/>
          <w:snapToGrid w:val="0"/>
          <w:sz w:val="32"/>
          <w:szCs w:val="32"/>
        </w:rPr>
        <w:t>）园区空气质量优良率（必选）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指空气质量优良天数占全年天数的比例。空气质量优良等级按照GB3085《环境空气质量标准》确定。</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w:t>
      </w:r>
      <w:r>
        <w:rPr>
          <w:rFonts w:ascii="Times New Roman" w:eastAsia="楷体_GB2312" w:hAnsi="Times New Roman" w:cs="Times New Roman" w:hint="default"/>
          <w:snapToGrid w:val="0"/>
          <w:sz w:val="32"/>
          <w:szCs w:val="32"/>
          <w:lang w:val="en-US" w:eastAsia="zh-CN"/>
        </w:rPr>
        <w:t>六</w:t>
      </w:r>
      <w:r>
        <w:rPr>
          <w:rFonts w:ascii="Times New Roman" w:eastAsia="楷体_GB2312" w:hAnsi="Times New Roman" w:cs="Times New Roman" w:hint="default"/>
          <w:snapToGrid w:val="0"/>
          <w:sz w:val="32"/>
          <w:szCs w:val="32"/>
        </w:rPr>
        <w:t>）绿化覆盖率（</w:t>
      </w:r>
      <w:r>
        <w:rPr>
          <w:rFonts w:ascii="Times New Roman" w:eastAsia="楷体_GB2312" w:hAnsi="Times New Roman" w:cs="Times New Roman" w:hint="default"/>
          <w:snapToGrid w:val="0"/>
          <w:sz w:val="32"/>
          <w:szCs w:val="32"/>
          <w:lang w:val="en-US" w:eastAsia="zh-CN"/>
        </w:rPr>
        <w:t>可</w:t>
      </w:r>
      <w:r>
        <w:rPr>
          <w:rFonts w:ascii="Times New Roman" w:eastAsia="楷体_GB2312" w:hAnsi="Times New Roman" w:cs="Times New Roman" w:hint="default"/>
          <w:snapToGrid w:val="0"/>
          <w:sz w:val="32"/>
          <w:szCs w:val="32"/>
        </w:rPr>
        <w:t>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园区内各类</w:t>
      </w:r>
      <w:r>
        <w:rPr>
          <w:rFonts w:ascii="Times New Roman" w:eastAsia="仿宋_GB2312" w:hAnsi="Times New Roman" w:cs="Times New Roman" w:hint="default"/>
          <w:snapToGrid w:val="0"/>
          <w:sz w:val="32"/>
          <w:szCs w:val="32"/>
          <w:lang w:val="en-US" w:eastAsia="zh-CN"/>
        </w:rPr>
        <w:t>绿地总面积</w:t>
      </w:r>
      <w:r>
        <w:rPr>
          <w:rFonts w:ascii="Times New Roman" w:eastAsia="仿宋_GB2312" w:hAnsi="Times New Roman" w:cs="Times New Roman" w:hint="default"/>
          <w:snapToGrid w:val="0"/>
          <w:sz w:val="32"/>
          <w:szCs w:val="32"/>
        </w:rPr>
        <w:t>与园区规划范围内用地总面积的比值。</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绿色覆盖率（%）=园区内各类绿地总面积（m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）/园区用地总面积（m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（七）道路遮荫比例（可选）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指道路两旁树冠垂直投影遮蔽的总阴影面积与步行道路总面积的比值。</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道路遮荫比例（%）=道路两旁树冠垂直投影遮蔽的总阴影面积（m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）/步行道路总面积（m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（八）露天停车场遮荫比例（可选）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指标要求：</w:t>
      </w:r>
      <w:r>
        <w:rPr>
          <w:rFonts w:ascii="Times New Roman" w:eastAsia="仿宋_GB2312" w:hAnsi="Times New Roman" w:cs="Times New Roman" w:hint="default"/>
          <w:snapToGrid w:val="0"/>
          <w:sz w:val="32"/>
          <w:szCs w:val="32"/>
        </w:rPr>
        <w:t>露天停车场遮阴比例应达到80%。</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指露天停车场树冠垂直投影遮蔽的总阴影面积与露天停车场总面积的比值。</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计算公式：</w:t>
      </w:r>
      <w:r>
        <w:rPr>
          <w:rFonts w:ascii="Times New Roman" w:eastAsia="仿宋_GB2312" w:hAnsi="Times New Roman" w:cs="Times New Roman" w:hint="default"/>
          <w:snapToGrid w:val="0"/>
          <w:sz w:val="32"/>
          <w:szCs w:val="32"/>
        </w:rPr>
        <w:t>露天停车场遮荫比例（%）=露天停车场树冠垂直投影遮蔽的总阴影面积（m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）/露天停车场总面积（m</w:t>
      </w:r>
      <w:r>
        <w:rPr>
          <w:rFonts w:ascii="Times New Roman" w:eastAsia="仿宋_GB2312" w:hAnsi="Times New Roman" w:cs="Times New Roman" w:hint="default"/>
          <w:snapToGrid w:val="0"/>
          <w:sz w:val="32"/>
          <w:szCs w:val="32"/>
          <w:vertAlign w:val="superscript"/>
        </w:rPr>
        <w:t>2</w:t>
      </w:r>
      <w:r>
        <w:rPr>
          <w:rFonts w:ascii="Times New Roman" w:eastAsia="仿宋_GB2312" w:hAnsi="Times New Roman" w:cs="Times New Roman" w:hint="default"/>
          <w:snapToGrid w:val="0"/>
          <w:sz w:val="32"/>
          <w:szCs w:val="32"/>
        </w:rPr>
        <w:t>）</w:t>
      </w:r>
      <w:r>
        <w:rPr>
          <w:rFonts w:ascii="Times New Roman" w:hAnsi="Times New Roman" w:cs="Times New Roman" w:hint="default"/>
          <w:snapToGrid w:val="0"/>
          <w:color w:val="333333"/>
          <w:sz w:val="32"/>
          <w:szCs w:val="32"/>
          <w:shd w:val="clear" w:color="auto" w:fill="FFFFFF"/>
        </w:rPr>
        <w:t>×</w:t>
      </w:r>
      <w:r>
        <w:rPr>
          <w:rFonts w:ascii="Times New Roman" w:eastAsia="仿宋_GB2312" w:hAnsi="Times New Roman" w:cs="Times New Roman" w:hint="default"/>
          <w:snapToGrid w:val="0"/>
          <w:sz w:val="32"/>
          <w:szCs w:val="32"/>
        </w:rPr>
        <w:t>100%。</w:t>
      </w: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七、运行管理绿色</w:t>
      </w:r>
      <w:r>
        <w:rPr>
          <w:rFonts w:ascii="Times New Roman" w:eastAsia="黑体" w:hAnsi="Times New Roman" w:cs="Times New Roman" w:hint="default"/>
          <w:bCs/>
          <w:snapToGrid w:val="0"/>
          <w:sz w:val="32"/>
          <w:szCs w:val="32"/>
          <w:lang w:val="en-US" w:eastAsia="zh-CN"/>
        </w:rPr>
        <w:t>化</w:t>
      </w:r>
      <w:r>
        <w:rPr>
          <w:rFonts w:ascii="Times New Roman" w:eastAsia="黑体" w:hAnsi="Times New Roman" w:cs="Times New Roman" w:hint="default"/>
          <w:bCs/>
          <w:snapToGrid w:val="0"/>
          <w:sz w:val="32"/>
          <w:szCs w:val="32"/>
        </w:rPr>
        <w:t>指标（3个必选指标）</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运行管理绿色</w:t>
      </w:r>
      <w:r>
        <w:rPr>
          <w:rFonts w:ascii="Times New Roman" w:eastAsia="仿宋_GB2312" w:hAnsi="Times New Roman" w:cs="Times New Roman" w:hint="default"/>
          <w:snapToGrid w:val="0"/>
          <w:sz w:val="32"/>
          <w:szCs w:val="32"/>
          <w:lang w:val="en-US" w:eastAsia="zh-CN"/>
        </w:rPr>
        <w:t>化</w:t>
      </w:r>
      <w:r>
        <w:rPr>
          <w:rFonts w:ascii="Times New Roman" w:eastAsia="仿宋_GB2312" w:hAnsi="Times New Roman" w:cs="Times New Roman" w:hint="default"/>
          <w:snapToGrid w:val="0"/>
          <w:sz w:val="32"/>
          <w:szCs w:val="32"/>
        </w:rPr>
        <w:t>指标包括绿色园区标准体系完善程度、编制绿色园区发展规划、绿色园区信息平台完善程度3个必选指标。</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（一）绿色园区标准体系完善程度（必选）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主要考核是否建立与其产业链和主导产业相适应的绿色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474" w:firstLineChars="148"/>
        <w:rPr>
          <w:rFonts w:ascii="Times New Roman" w:eastAsia="仿宋_GB2312" w:hAnsi="Times New Roman" w:cs="Times New Roman" w:hint="default"/>
          <w:snapToGrid w:val="0"/>
          <w:sz w:val="32"/>
          <w:szCs w:val="32"/>
          <w:lang w:eastAsia="zh-CN"/>
        </w:rPr>
      </w:pPr>
      <w:r>
        <w:rPr>
          <w:rFonts w:ascii="Times New Roman" w:eastAsia="楷体_GB2312" w:hAnsi="Times New Roman" w:cs="Times New Roman" w:hint="default"/>
          <w:snapToGrid w:val="0"/>
          <w:sz w:val="32"/>
          <w:szCs w:val="32"/>
        </w:rPr>
        <w:t>（二）编制绿色园区发展规划（必选）</w:t>
      </w:r>
    </w:p>
    <w:p>
      <w:pPr>
        <w:ind w:firstLine="474" w:firstLineChars="148"/>
        <w:rPr>
          <w:rFonts w:ascii="Times New Roman" w:eastAsia="仿宋_GB2312"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按照本实施方案的创建内容编制绿色园区发展规划，原则上每五年编制一次。</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（三）绿色园区信息平台完善程度（必选）</w:t>
      </w:r>
    </w:p>
    <w:p>
      <w:pPr>
        <w:ind w:firstLine="474" w:firstLineChars="148"/>
        <w:rPr>
          <w:rFonts w:ascii="Times New Roman" w:hAnsi="Times New Roman" w:cs="Times New Roman" w:hint="default"/>
          <w:snapToGrid w:val="0"/>
          <w:sz w:val="32"/>
          <w:szCs w:val="32"/>
        </w:rPr>
      </w:pPr>
      <w:r>
        <w:rPr>
          <w:rFonts w:ascii="Times New Roman" w:eastAsia="楷体_GB2312" w:hAnsi="Times New Roman" w:cs="Times New Roman" w:hint="default"/>
          <w:bCs/>
          <w:snapToGrid w:val="0"/>
          <w:sz w:val="32"/>
          <w:szCs w:val="32"/>
        </w:rPr>
        <w:t>指标解释：</w:t>
      </w:r>
      <w:r>
        <w:rPr>
          <w:rFonts w:ascii="Times New Roman" w:eastAsia="仿宋_GB2312" w:hAnsi="Times New Roman" w:cs="Times New Roman" w:hint="default"/>
          <w:snapToGrid w:val="0"/>
          <w:sz w:val="32"/>
          <w:szCs w:val="32"/>
        </w:rPr>
        <w:t>主要考核是否创建局域网；是否定期在园区管委会网站、局域网或相关网站上发布绿色园区建设和改造信息；是否在园区局域网上有园区主导行业清洁生产技术信息（主要包括原材料选择、节水、节能、环保等方面）、废物资源化技术信息、绿色建筑技术信息、绿色交通技术信息等。</w:t>
      </w:r>
    </w:p>
    <w:sectPr>
      <w:footerReference w:type="default" r:id="rId45"/>
      <w:type w:val="nextPage"/>
      <w:pgSz w:w="11906" w:h="16838"/>
      <w:pgMar w:top="1417" w:right="1587" w:bottom="1417" w:left="1701" w:header="851" w:footer="992" w:gutter="0"/>
      <w:paperSrc w:first="0" w:other="0"/>
      <w:pgNumType w:fmt="decimal"/>
      <w:cols w:space="720"/>
      <w:titlePg w:val="0"/>
      <w:rtlGutter w:val="0"/>
      <w:docGrid w:type="linesAndChars" w:linePitch="636" w:charSpace="20026"/>
    </w:sectPr>
  </w:body>
</w:document>
</file>

<file path=word/fontTable.xml><?xml version="1.0" encoding="utf-8"?>
<w:fonts xmlns:r="http://schemas.openxmlformats.org/officeDocument/2006/relationships" xmlns:w="http://schemas.openxmlformats.org/wordprocessingml/2006/main">
  <w:font w:name="Calibri">
    <w:altName w:val="DejaVu Sans"/>
    <w:panose1 w:val="020F0502020204030204"/>
    <w:charset w:val="86"/>
    <w:family w:val="swiss"/>
    <w:pitch w:val="default"/>
    <w:sig w:usb0="00000000" w:usb1="00000000" w:usb2="00000001" w:usb3="00000000" w:csb0="0000019F" w:csb1="00000000"/>
  </w:font>
  <w:font w:name="Times New Roman">
    <w:altName w:val="Nimbus Roman No9 L"/>
    <w:panose1 w:val="00000000000000000000"/>
    <w:charset w:val="00"/>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1" o:spid="_x0000_s2049" type="#_x0000_t202" style="width:2in;height:2in;margin-top:0.75pt;margin-left:0;mso-position-horizontal:outside;mso-position-horizontal-relative:margin;mso-wrap-style:none;position:absolute;v-text-anchor:top;z-index:251658240" filled="f" stroked="f" strokeweight="0.5pt">
          <v:fill o:detectmouseclick="t"/>
          <v:shadow color="gray"/>
          <o:lock v:ext="edit" aspectratio="f"/>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comments="1" w:formatting="1" w:inkAnnotations="1" w:insDel="1" w:markup="0"/>
  <w:trackRevisions/>
  <w:defaultTabStop w:val="420"/>
  <w:drawingGridHorizontalSpacing w:val="154"/>
  <w:drawingGridVerticalSpacing w:val="318"/>
  <w:displayHorizontalDrawingGridEvery w:val="2"/>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671B"/>
    <w:rsid w:val="A2FBD7EB"/>
    <w:rsid w:val="FBF406FB"/>
    <w:rsid w:val="FF7F87A4"/>
    <w:rsid w:val="FFF7C04B"/>
    <w:rsid w:val="00002B8B"/>
    <w:rsid w:val="00003150"/>
    <w:rsid w:val="00011051"/>
    <w:rsid w:val="000139AB"/>
    <w:rsid w:val="000161CF"/>
    <w:rsid w:val="00016DA8"/>
    <w:rsid w:val="00025590"/>
    <w:rsid w:val="00025C55"/>
    <w:rsid w:val="00026BF7"/>
    <w:rsid w:val="00042E98"/>
    <w:rsid w:val="000466F5"/>
    <w:rsid w:val="0006004A"/>
    <w:rsid w:val="00062C97"/>
    <w:rsid w:val="00070B89"/>
    <w:rsid w:val="000715D5"/>
    <w:rsid w:val="000757DD"/>
    <w:rsid w:val="00082EC7"/>
    <w:rsid w:val="00085F79"/>
    <w:rsid w:val="000865BE"/>
    <w:rsid w:val="0009191E"/>
    <w:rsid w:val="00092C0D"/>
    <w:rsid w:val="00097332"/>
    <w:rsid w:val="000A0B70"/>
    <w:rsid w:val="000A317B"/>
    <w:rsid w:val="000A35D5"/>
    <w:rsid w:val="000A52C9"/>
    <w:rsid w:val="000A5A81"/>
    <w:rsid w:val="000A78DB"/>
    <w:rsid w:val="000B4E2D"/>
    <w:rsid w:val="000C71A0"/>
    <w:rsid w:val="000D602D"/>
    <w:rsid w:val="000E462F"/>
    <w:rsid w:val="000E516F"/>
    <w:rsid w:val="000E57FD"/>
    <w:rsid w:val="000F2335"/>
    <w:rsid w:val="000F4ACD"/>
    <w:rsid w:val="000F5DD2"/>
    <w:rsid w:val="000F5DF3"/>
    <w:rsid w:val="00100334"/>
    <w:rsid w:val="00100BB5"/>
    <w:rsid w:val="00122F4E"/>
    <w:rsid w:val="001276F6"/>
    <w:rsid w:val="00141C4C"/>
    <w:rsid w:val="00147962"/>
    <w:rsid w:val="00151166"/>
    <w:rsid w:val="001555E6"/>
    <w:rsid w:val="001620AB"/>
    <w:rsid w:val="00164F6C"/>
    <w:rsid w:val="00174EA6"/>
    <w:rsid w:val="00180A45"/>
    <w:rsid w:val="00185353"/>
    <w:rsid w:val="001855AF"/>
    <w:rsid w:val="00187503"/>
    <w:rsid w:val="0019362E"/>
    <w:rsid w:val="0019715B"/>
    <w:rsid w:val="001A6481"/>
    <w:rsid w:val="001B28B6"/>
    <w:rsid w:val="001B4A8A"/>
    <w:rsid w:val="001B50F8"/>
    <w:rsid w:val="001C213C"/>
    <w:rsid w:val="001C5247"/>
    <w:rsid w:val="001C63AB"/>
    <w:rsid w:val="001D2C38"/>
    <w:rsid w:val="001E16CC"/>
    <w:rsid w:val="001E2E0F"/>
    <w:rsid w:val="001E690A"/>
    <w:rsid w:val="001F1C5D"/>
    <w:rsid w:val="001F506A"/>
    <w:rsid w:val="001F6C6E"/>
    <w:rsid w:val="00200649"/>
    <w:rsid w:val="00203226"/>
    <w:rsid w:val="002060F0"/>
    <w:rsid w:val="00217380"/>
    <w:rsid w:val="002231E5"/>
    <w:rsid w:val="002242FD"/>
    <w:rsid w:val="00224AA4"/>
    <w:rsid w:val="00224C63"/>
    <w:rsid w:val="00227309"/>
    <w:rsid w:val="00231617"/>
    <w:rsid w:val="00234746"/>
    <w:rsid w:val="00234CB7"/>
    <w:rsid w:val="00235666"/>
    <w:rsid w:val="00237435"/>
    <w:rsid w:val="0024785E"/>
    <w:rsid w:val="00247F1E"/>
    <w:rsid w:val="00255DC3"/>
    <w:rsid w:val="002703DA"/>
    <w:rsid w:val="00275173"/>
    <w:rsid w:val="00281F7D"/>
    <w:rsid w:val="0028390F"/>
    <w:rsid w:val="002844FB"/>
    <w:rsid w:val="002853D8"/>
    <w:rsid w:val="0028591D"/>
    <w:rsid w:val="0028646A"/>
    <w:rsid w:val="002943AB"/>
    <w:rsid w:val="002B0214"/>
    <w:rsid w:val="002B2942"/>
    <w:rsid w:val="002B6538"/>
    <w:rsid w:val="002C1BF4"/>
    <w:rsid w:val="002C7A46"/>
    <w:rsid w:val="002D5169"/>
    <w:rsid w:val="002D5BE8"/>
    <w:rsid w:val="002E4CE6"/>
    <w:rsid w:val="002E519D"/>
    <w:rsid w:val="002E7F18"/>
    <w:rsid w:val="0030063A"/>
    <w:rsid w:val="003046AA"/>
    <w:rsid w:val="0030500C"/>
    <w:rsid w:val="00306FD3"/>
    <w:rsid w:val="00314519"/>
    <w:rsid w:val="00317494"/>
    <w:rsid w:val="00317CE2"/>
    <w:rsid w:val="00320A49"/>
    <w:rsid w:val="003240C6"/>
    <w:rsid w:val="003243C6"/>
    <w:rsid w:val="00326265"/>
    <w:rsid w:val="00326709"/>
    <w:rsid w:val="0034024F"/>
    <w:rsid w:val="00342A47"/>
    <w:rsid w:val="0034709B"/>
    <w:rsid w:val="003474C9"/>
    <w:rsid w:val="003553C3"/>
    <w:rsid w:val="00356020"/>
    <w:rsid w:val="00360FDB"/>
    <w:rsid w:val="00363398"/>
    <w:rsid w:val="003712DB"/>
    <w:rsid w:val="00372950"/>
    <w:rsid w:val="00377EC7"/>
    <w:rsid w:val="00383337"/>
    <w:rsid w:val="003834A8"/>
    <w:rsid w:val="0038640F"/>
    <w:rsid w:val="003868E6"/>
    <w:rsid w:val="00391108"/>
    <w:rsid w:val="003917B5"/>
    <w:rsid w:val="00392346"/>
    <w:rsid w:val="00394833"/>
    <w:rsid w:val="003A12E3"/>
    <w:rsid w:val="003A1B98"/>
    <w:rsid w:val="003A62B8"/>
    <w:rsid w:val="003B44AA"/>
    <w:rsid w:val="003B67B2"/>
    <w:rsid w:val="003B7965"/>
    <w:rsid w:val="003C094E"/>
    <w:rsid w:val="003C4990"/>
    <w:rsid w:val="003F214E"/>
    <w:rsid w:val="003F5B14"/>
    <w:rsid w:val="004059D3"/>
    <w:rsid w:val="0041467D"/>
    <w:rsid w:val="00415A87"/>
    <w:rsid w:val="0042290C"/>
    <w:rsid w:val="004405D0"/>
    <w:rsid w:val="0044085F"/>
    <w:rsid w:val="00441F35"/>
    <w:rsid w:val="004439AB"/>
    <w:rsid w:val="00450E0E"/>
    <w:rsid w:val="00452AEC"/>
    <w:rsid w:val="00452C64"/>
    <w:rsid w:val="0045712A"/>
    <w:rsid w:val="00462644"/>
    <w:rsid w:val="00466386"/>
    <w:rsid w:val="00467427"/>
    <w:rsid w:val="0047142F"/>
    <w:rsid w:val="00477176"/>
    <w:rsid w:val="0047720E"/>
    <w:rsid w:val="00482470"/>
    <w:rsid w:val="0048339E"/>
    <w:rsid w:val="0049079F"/>
    <w:rsid w:val="004913CD"/>
    <w:rsid w:val="004913E0"/>
    <w:rsid w:val="00491EFE"/>
    <w:rsid w:val="004B2B45"/>
    <w:rsid w:val="004B6527"/>
    <w:rsid w:val="004B697E"/>
    <w:rsid w:val="004C0980"/>
    <w:rsid w:val="004C5DA0"/>
    <w:rsid w:val="004D06EA"/>
    <w:rsid w:val="004E0684"/>
    <w:rsid w:val="004E26C6"/>
    <w:rsid w:val="004E3441"/>
    <w:rsid w:val="00501361"/>
    <w:rsid w:val="00506CE8"/>
    <w:rsid w:val="00512F79"/>
    <w:rsid w:val="0051431C"/>
    <w:rsid w:val="0051781A"/>
    <w:rsid w:val="005234B2"/>
    <w:rsid w:val="00533C51"/>
    <w:rsid w:val="00534AF4"/>
    <w:rsid w:val="00543BE7"/>
    <w:rsid w:val="005444DF"/>
    <w:rsid w:val="00544910"/>
    <w:rsid w:val="00556BF1"/>
    <w:rsid w:val="00557CFC"/>
    <w:rsid w:val="00557FF7"/>
    <w:rsid w:val="00561911"/>
    <w:rsid w:val="00562E33"/>
    <w:rsid w:val="00565011"/>
    <w:rsid w:val="0058172F"/>
    <w:rsid w:val="00582E99"/>
    <w:rsid w:val="00583B24"/>
    <w:rsid w:val="005873D8"/>
    <w:rsid w:val="00587900"/>
    <w:rsid w:val="0059013A"/>
    <w:rsid w:val="0059095A"/>
    <w:rsid w:val="00593190"/>
    <w:rsid w:val="00593C47"/>
    <w:rsid w:val="00596B3C"/>
    <w:rsid w:val="005A0C84"/>
    <w:rsid w:val="005A24B8"/>
    <w:rsid w:val="005A3AD5"/>
    <w:rsid w:val="005A775A"/>
    <w:rsid w:val="005B1583"/>
    <w:rsid w:val="005B68B4"/>
    <w:rsid w:val="005B7241"/>
    <w:rsid w:val="005C23DE"/>
    <w:rsid w:val="005C741B"/>
    <w:rsid w:val="005D2B24"/>
    <w:rsid w:val="005D40D5"/>
    <w:rsid w:val="005D4249"/>
    <w:rsid w:val="005D6A94"/>
    <w:rsid w:val="005E76EF"/>
    <w:rsid w:val="005F1B47"/>
    <w:rsid w:val="005F3433"/>
    <w:rsid w:val="005F4D74"/>
    <w:rsid w:val="0060397B"/>
    <w:rsid w:val="006052B2"/>
    <w:rsid w:val="00605731"/>
    <w:rsid w:val="0061029F"/>
    <w:rsid w:val="0061595B"/>
    <w:rsid w:val="0061712E"/>
    <w:rsid w:val="00631C9F"/>
    <w:rsid w:val="00631FAA"/>
    <w:rsid w:val="0063247B"/>
    <w:rsid w:val="00634BC7"/>
    <w:rsid w:val="006361FF"/>
    <w:rsid w:val="00641801"/>
    <w:rsid w:val="006432C4"/>
    <w:rsid w:val="00655025"/>
    <w:rsid w:val="00666AE4"/>
    <w:rsid w:val="00671E6F"/>
    <w:rsid w:val="00674FA9"/>
    <w:rsid w:val="00675DBB"/>
    <w:rsid w:val="00684BE5"/>
    <w:rsid w:val="00684DE5"/>
    <w:rsid w:val="0069016E"/>
    <w:rsid w:val="00690611"/>
    <w:rsid w:val="00693922"/>
    <w:rsid w:val="006A4214"/>
    <w:rsid w:val="006A5251"/>
    <w:rsid w:val="006A583D"/>
    <w:rsid w:val="006A60C5"/>
    <w:rsid w:val="006A68F7"/>
    <w:rsid w:val="006B2B4A"/>
    <w:rsid w:val="006B3D77"/>
    <w:rsid w:val="006B5A0D"/>
    <w:rsid w:val="006B6B2E"/>
    <w:rsid w:val="006C1B56"/>
    <w:rsid w:val="006C2B4D"/>
    <w:rsid w:val="006D07F8"/>
    <w:rsid w:val="006D14CC"/>
    <w:rsid w:val="006D3538"/>
    <w:rsid w:val="006E66EB"/>
    <w:rsid w:val="006E7AD8"/>
    <w:rsid w:val="006F3541"/>
    <w:rsid w:val="0070339B"/>
    <w:rsid w:val="0071776F"/>
    <w:rsid w:val="007207C1"/>
    <w:rsid w:val="007207CF"/>
    <w:rsid w:val="00721B0F"/>
    <w:rsid w:val="007233EC"/>
    <w:rsid w:val="00730203"/>
    <w:rsid w:val="00736230"/>
    <w:rsid w:val="00737453"/>
    <w:rsid w:val="007407B6"/>
    <w:rsid w:val="007412E5"/>
    <w:rsid w:val="00742D9C"/>
    <w:rsid w:val="007455DE"/>
    <w:rsid w:val="007562A3"/>
    <w:rsid w:val="00757ACE"/>
    <w:rsid w:val="0076196E"/>
    <w:rsid w:val="0076200C"/>
    <w:rsid w:val="00762B6E"/>
    <w:rsid w:val="00772594"/>
    <w:rsid w:val="00773D8C"/>
    <w:rsid w:val="00773DF3"/>
    <w:rsid w:val="0077509A"/>
    <w:rsid w:val="007763DE"/>
    <w:rsid w:val="0078192D"/>
    <w:rsid w:val="007904BE"/>
    <w:rsid w:val="00794EBD"/>
    <w:rsid w:val="00795FA6"/>
    <w:rsid w:val="007963EF"/>
    <w:rsid w:val="007A0C19"/>
    <w:rsid w:val="007A0EB8"/>
    <w:rsid w:val="007A25E7"/>
    <w:rsid w:val="007A33CB"/>
    <w:rsid w:val="007A3D39"/>
    <w:rsid w:val="007A4433"/>
    <w:rsid w:val="007B4F8A"/>
    <w:rsid w:val="007B6B22"/>
    <w:rsid w:val="007C36F7"/>
    <w:rsid w:val="007C3F62"/>
    <w:rsid w:val="007D0C2D"/>
    <w:rsid w:val="007D0D46"/>
    <w:rsid w:val="007D1F02"/>
    <w:rsid w:val="007D6952"/>
    <w:rsid w:val="007D6BF3"/>
    <w:rsid w:val="007E3522"/>
    <w:rsid w:val="007E62D2"/>
    <w:rsid w:val="007F4C22"/>
    <w:rsid w:val="00801BF3"/>
    <w:rsid w:val="008043A7"/>
    <w:rsid w:val="008127B3"/>
    <w:rsid w:val="008167BF"/>
    <w:rsid w:val="00817C2B"/>
    <w:rsid w:val="00822259"/>
    <w:rsid w:val="008223C7"/>
    <w:rsid w:val="00824B33"/>
    <w:rsid w:val="0083291A"/>
    <w:rsid w:val="00836AF5"/>
    <w:rsid w:val="00846A28"/>
    <w:rsid w:val="00850E12"/>
    <w:rsid w:val="00853D2F"/>
    <w:rsid w:val="008542E5"/>
    <w:rsid w:val="00854E82"/>
    <w:rsid w:val="00855126"/>
    <w:rsid w:val="00855C59"/>
    <w:rsid w:val="008652FC"/>
    <w:rsid w:val="008673FE"/>
    <w:rsid w:val="00872A7A"/>
    <w:rsid w:val="008732A0"/>
    <w:rsid w:val="00874555"/>
    <w:rsid w:val="00882AF7"/>
    <w:rsid w:val="008937B2"/>
    <w:rsid w:val="00893C8F"/>
    <w:rsid w:val="0089666A"/>
    <w:rsid w:val="00896B40"/>
    <w:rsid w:val="008A3E22"/>
    <w:rsid w:val="008B66A7"/>
    <w:rsid w:val="008B7636"/>
    <w:rsid w:val="008C742F"/>
    <w:rsid w:val="008C7BE6"/>
    <w:rsid w:val="008D2427"/>
    <w:rsid w:val="008D4E01"/>
    <w:rsid w:val="008D5122"/>
    <w:rsid w:val="008D5D67"/>
    <w:rsid w:val="008E254B"/>
    <w:rsid w:val="008E3F23"/>
    <w:rsid w:val="008E6B7B"/>
    <w:rsid w:val="008F1EFB"/>
    <w:rsid w:val="008F305E"/>
    <w:rsid w:val="008F66C0"/>
    <w:rsid w:val="008F6A90"/>
    <w:rsid w:val="008F77FA"/>
    <w:rsid w:val="009020CB"/>
    <w:rsid w:val="00905BB3"/>
    <w:rsid w:val="00912FC8"/>
    <w:rsid w:val="00921FCB"/>
    <w:rsid w:val="00926F43"/>
    <w:rsid w:val="0094117D"/>
    <w:rsid w:val="00953658"/>
    <w:rsid w:val="00954884"/>
    <w:rsid w:val="00954E21"/>
    <w:rsid w:val="00956A8C"/>
    <w:rsid w:val="009617BC"/>
    <w:rsid w:val="00961A09"/>
    <w:rsid w:val="0096233F"/>
    <w:rsid w:val="00964D6B"/>
    <w:rsid w:val="009663E9"/>
    <w:rsid w:val="009674AE"/>
    <w:rsid w:val="00974E41"/>
    <w:rsid w:val="00975239"/>
    <w:rsid w:val="00991C4A"/>
    <w:rsid w:val="00994E63"/>
    <w:rsid w:val="00995354"/>
    <w:rsid w:val="009966AE"/>
    <w:rsid w:val="009A0F54"/>
    <w:rsid w:val="009A1E34"/>
    <w:rsid w:val="009A619E"/>
    <w:rsid w:val="009B70CE"/>
    <w:rsid w:val="009B7868"/>
    <w:rsid w:val="009C00CF"/>
    <w:rsid w:val="009C6222"/>
    <w:rsid w:val="009C7515"/>
    <w:rsid w:val="009D17CA"/>
    <w:rsid w:val="009D5AA1"/>
    <w:rsid w:val="009D7129"/>
    <w:rsid w:val="009D760B"/>
    <w:rsid w:val="009F2912"/>
    <w:rsid w:val="009F308E"/>
    <w:rsid w:val="00A035BD"/>
    <w:rsid w:val="00A04132"/>
    <w:rsid w:val="00A06E4E"/>
    <w:rsid w:val="00A144BD"/>
    <w:rsid w:val="00A2050D"/>
    <w:rsid w:val="00A27254"/>
    <w:rsid w:val="00A33FFC"/>
    <w:rsid w:val="00A44A98"/>
    <w:rsid w:val="00A453D6"/>
    <w:rsid w:val="00A50386"/>
    <w:rsid w:val="00A515CF"/>
    <w:rsid w:val="00A552EB"/>
    <w:rsid w:val="00A56C9C"/>
    <w:rsid w:val="00A86DC6"/>
    <w:rsid w:val="00AA5C54"/>
    <w:rsid w:val="00AB41E4"/>
    <w:rsid w:val="00AC3B9F"/>
    <w:rsid w:val="00AC71A1"/>
    <w:rsid w:val="00AD0A72"/>
    <w:rsid w:val="00AD38F7"/>
    <w:rsid w:val="00AD7DED"/>
    <w:rsid w:val="00AE1E10"/>
    <w:rsid w:val="00AE3885"/>
    <w:rsid w:val="00AE3C55"/>
    <w:rsid w:val="00AF0B51"/>
    <w:rsid w:val="00AF1D32"/>
    <w:rsid w:val="00AF3200"/>
    <w:rsid w:val="00B01312"/>
    <w:rsid w:val="00B04DE3"/>
    <w:rsid w:val="00B06B71"/>
    <w:rsid w:val="00B1110B"/>
    <w:rsid w:val="00B21373"/>
    <w:rsid w:val="00B23B90"/>
    <w:rsid w:val="00B27E8F"/>
    <w:rsid w:val="00B469EB"/>
    <w:rsid w:val="00B5382E"/>
    <w:rsid w:val="00B5423F"/>
    <w:rsid w:val="00B55925"/>
    <w:rsid w:val="00B5767E"/>
    <w:rsid w:val="00B63C6F"/>
    <w:rsid w:val="00B655BE"/>
    <w:rsid w:val="00B7124B"/>
    <w:rsid w:val="00B73806"/>
    <w:rsid w:val="00B7426B"/>
    <w:rsid w:val="00B746DC"/>
    <w:rsid w:val="00B7592F"/>
    <w:rsid w:val="00B93442"/>
    <w:rsid w:val="00B935B9"/>
    <w:rsid w:val="00B956D3"/>
    <w:rsid w:val="00B9658C"/>
    <w:rsid w:val="00BA15F1"/>
    <w:rsid w:val="00BA2AD4"/>
    <w:rsid w:val="00BA44D1"/>
    <w:rsid w:val="00BB1135"/>
    <w:rsid w:val="00BB1F87"/>
    <w:rsid w:val="00BB2454"/>
    <w:rsid w:val="00BB4EF3"/>
    <w:rsid w:val="00BB6B0B"/>
    <w:rsid w:val="00BB700B"/>
    <w:rsid w:val="00BC1453"/>
    <w:rsid w:val="00BC1AB2"/>
    <w:rsid w:val="00BC1E5E"/>
    <w:rsid w:val="00BC3C19"/>
    <w:rsid w:val="00BC6D77"/>
    <w:rsid w:val="00BD3711"/>
    <w:rsid w:val="00BD3D95"/>
    <w:rsid w:val="00BD3F7C"/>
    <w:rsid w:val="00BD4E0B"/>
    <w:rsid w:val="00BD5DB6"/>
    <w:rsid w:val="00BD60FB"/>
    <w:rsid w:val="00BD7E84"/>
    <w:rsid w:val="00BE0E29"/>
    <w:rsid w:val="00BE39F3"/>
    <w:rsid w:val="00BE3FA4"/>
    <w:rsid w:val="00BF0A87"/>
    <w:rsid w:val="00BF3079"/>
    <w:rsid w:val="00BF36BF"/>
    <w:rsid w:val="00C10A5E"/>
    <w:rsid w:val="00C113D1"/>
    <w:rsid w:val="00C11DF5"/>
    <w:rsid w:val="00C1233C"/>
    <w:rsid w:val="00C13D79"/>
    <w:rsid w:val="00C21C91"/>
    <w:rsid w:val="00C23458"/>
    <w:rsid w:val="00C273FD"/>
    <w:rsid w:val="00C32882"/>
    <w:rsid w:val="00C34B8B"/>
    <w:rsid w:val="00C42940"/>
    <w:rsid w:val="00C4349B"/>
    <w:rsid w:val="00C4781C"/>
    <w:rsid w:val="00C47B65"/>
    <w:rsid w:val="00C51EE0"/>
    <w:rsid w:val="00C53291"/>
    <w:rsid w:val="00C573BA"/>
    <w:rsid w:val="00C57DA2"/>
    <w:rsid w:val="00C61DE5"/>
    <w:rsid w:val="00C77E26"/>
    <w:rsid w:val="00C80394"/>
    <w:rsid w:val="00C857D5"/>
    <w:rsid w:val="00C870CF"/>
    <w:rsid w:val="00C96751"/>
    <w:rsid w:val="00CA3D71"/>
    <w:rsid w:val="00CA4AB8"/>
    <w:rsid w:val="00CA52B3"/>
    <w:rsid w:val="00CA7002"/>
    <w:rsid w:val="00CA7B0D"/>
    <w:rsid w:val="00CB2439"/>
    <w:rsid w:val="00CC1B6C"/>
    <w:rsid w:val="00CC34C3"/>
    <w:rsid w:val="00CC3D9C"/>
    <w:rsid w:val="00CC625A"/>
    <w:rsid w:val="00CD1AF4"/>
    <w:rsid w:val="00CD50DC"/>
    <w:rsid w:val="00CE12FB"/>
    <w:rsid w:val="00CE2C19"/>
    <w:rsid w:val="00CE3E1F"/>
    <w:rsid w:val="00CE4B4E"/>
    <w:rsid w:val="00D00670"/>
    <w:rsid w:val="00D0142F"/>
    <w:rsid w:val="00D0236A"/>
    <w:rsid w:val="00D13AA7"/>
    <w:rsid w:val="00D14021"/>
    <w:rsid w:val="00D14929"/>
    <w:rsid w:val="00D1671B"/>
    <w:rsid w:val="00D20420"/>
    <w:rsid w:val="00D213C8"/>
    <w:rsid w:val="00D22BFB"/>
    <w:rsid w:val="00D30E1E"/>
    <w:rsid w:val="00D31D50"/>
    <w:rsid w:val="00D34A2E"/>
    <w:rsid w:val="00D440BD"/>
    <w:rsid w:val="00D46EE1"/>
    <w:rsid w:val="00D61F2A"/>
    <w:rsid w:val="00D65B38"/>
    <w:rsid w:val="00D7012B"/>
    <w:rsid w:val="00D74746"/>
    <w:rsid w:val="00D850DB"/>
    <w:rsid w:val="00D8673E"/>
    <w:rsid w:val="00DA1B2E"/>
    <w:rsid w:val="00DA42C0"/>
    <w:rsid w:val="00DB0988"/>
    <w:rsid w:val="00DB1313"/>
    <w:rsid w:val="00DB177B"/>
    <w:rsid w:val="00DB1E28"/>
    <w:rsid w:val="00DB68C5"/>
    <w:rsid w:val="00DC6401"/>
    <w:rsid w:val="00DD0A97"/>
    <w:rsid w:val="00DD3676"/>
    <w:rsid w:val="00DE1EC8"/>
    <w:rsid w:val="00DE60F9"/>
    <w:rsid w:val="00DE750C"/>
    <w:rsid w:val="00E01D65"/>
    <w:rsid w:val="00E11457"/>
    <w:rsid w:val="00E20183"/>
    <w:rsid w:val="00E24018"/>
    <w:rsid w:val="00E3533D"/>
    <w:rsid w:val="00E36370"/>
    <w:rsid w:val="00E40ED1"/>
    <w:rsid w:val="00E44933"/>
    <w:rsid w:val="00E45F1E"/>
    <w:rsid w:val="00E50B22"/>
    <w:rsid w:val="00E5112E"/>
    <w:rsid w:val="00E53E7E"/>
    <w:rsid w:val="00E54D92"/>
    <w:rsid w:val="00E561CD"/>
    <w:rsid w:val="00E57451"/>
    <w:rsid w:val="00E67E43"/>
    <w:rsid w:val="00E704B9"/>
    <w:rsid w:val="00E744DB"/>
    <w:rsid w:val="00E767EE"/>
    <w:rsid w:val="00E84563"/>
    <w:rsid w:val="00E97CFC"/>
    <w:rsid w:val="00EA3E28"/>
    <w:rsid w:val="00EA58E8"/>
    <w:rsid w:val="00EB058E"/>
    <w:rsid w:val="00EB24D5"/>
    <w:rsid w:val="00EB470D"/>
    <w:rsid w:val="00EC04D2"/>
    <w:rsid w:val="00EC46EB"/>
    <w:rsid w:val="00EC7559"/>
    <w:rsid w:val="00EE2E55"/>
    <w:rsid w:val="00EF00F2"/>
    <w:rsid w:val="00EF2B0C"/>
    <w:rsid w:val="00EF3DAC"/>
    <w:rsid w:val="00EF657B"/>
    <w:rsid w:val="00EF6C4C"/>
    <w:rsid w:val="00F026AC"/>
    <w:rsid w:val="00F02C9F"/>
    <w:rsid w:val="00F10923"/>
    <w:rsid w:val="00F16386"/>
    <w:rsid w:val="00F167E7"/>
    <w:rsid w:val="00F17D33"/>
    <w:rsid w:val="00F20E07"/>
    <w:rsid w:val="00F2544A"/>
    <w:rsid w:val="00F27016"/>
    <w:rsid w:val="00F35913"/>
    <w:rsid w:val="00F4005B"/>
    <w:rsid w:val="00F41D87"/>
    <w:rsid w:val="00F41E9C"/>
    <w:rsid w:val="00F429E5"/>
    <w:rsid w:val="00F4501F"/>
    <w:rsid w:val="00F477BD"/>
    <w:rsid w:val="00F56D98"/>
    <w:rsid w:val="00F646AE"/>
    <w:rsid w:val="00F6649E"/>
    <w:rsid w:val="00F70BFA"/>
    <w:rsid w:val="00F74E8A"/>
    <w:rsid w:val="00F76B0C"/>
    <w:rsid w:val="00F81E44"/>
    <w:rsid w:val="00F873CA"/>
    <w:rsid w:val="00F977F1"/>
    <w:rsid w:val="00FA0F1D"/>
    <w:rsid w:val="00FA2FB6"/>
    <w:rsid w:val="00FA3A34"/>
    <w:rsid w:val="00FB7078"/>
    <w:rsid w:val="00FB7CF4"/>
    <w:rsid w:val="00FC0E53"/>
    <w:rsid w:val="00FC4634"/>
    <w:rsid w:val="00FC4ADA"/>
    <w:rsid w:val="00FD6537"/>
    <w:rsid w:val="00FE09A4"/>
    <w:rsid w:val="00FE1363"/>
    <w:rsid w:val="00FE7DE0"/>
    <w:rsid w:val="00FF26ED"/>
    <w:rsid w:val="00FF7ED9"/>
    <w:rsid w:val="0ED81832"/>
    <w:rsid w:val="2B003DB6"/>
    <w:rsid w:val="2B705280"/>
    <w:rsid w:val="34B25704"/>
    <w:rsid w:val="3DEC3700"/>
    <w:rsid w:val="3F4C1D72"/>
    <w:rsid w:val="3F7F895A"/>
    <w:rsid w:val="424C5FFA"/>
    <w:rsid w:val="456464A9"/>
    <w:rsid w:val="4AFD4374"/>
    <w:rsid w:val="4D1A70A7"/>
    <w:rsid w:val="572C541B"/>
    <w:rsid w:val="5FCB4B59"/>
    <w:rsid w:val="601D5E0C"/>
    <w:rsid w:val="6AC9286E"/>
    <w:rsid w:val="6B845E74"/>
    <w:rsid w:val="6B9C5CC8"/>
    <w:rsid w:val="6C9E3EB6"/>
    <w:rsid w:val="79494565"/>
    <w:rsid w:val="7DFE1404"/>
  </w:rsids>
  <w:docVars>
    <w:docVar w:name="commondata" w:val="eyJoZGlkIjoiNzU1NmFkYjM2ZjVlNjlhYTExODFlMTExZDY5YzQ0Nzk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character" w:customStyle="1" w:styleId="1Char">
    <w:name w:val="标题 1 Char"/>
    <w:basedOn w:val="DefaultParagraphFont"/>
    <w:link w:val="Heading1"/>
    <w:uiPriority w:val="9"/>
    <w:qFormat/>
    <w:rPr>
      <w:rFonts w:ascii="宋体" w:eastAsia="宋体" w:hAnsi="宋体" w:cs="宋体"/>
      <w:b/>
      <w:bCs/>
      <w:kern w:val="36"/>
      <w:sz w:val="48"/>
      <w:szCs w:val="48"/>
    </w:rPr>
  </w:style>
  <w:style w:type="paragraph" w:styleId="CommentText">
    <w:name w:val="annotation text"/>
    <w:basedOn w:val="Normal"/>
    <w:link w:val="Char"/>
    <w:uiPriority w:val="99"/>
    <w:unhideWhenUsed/>
    <w:qFormat/>
    <w:pPr>
      <w:jc w:val="left"/>
    </w:pPr>
  </w:style>
  <w:style w:type="character" w:customStyle="1" w:styleId="Char">
    <w:name w:val="批注文字 Char"/>
    <w:basedOn w:val="DefaultParagraphFont"/>
    <w:link w:val="CommentText"/>
    <w:uiPriority w:val="99"/>
    <w:semiHidden/>
    <w:qFormat/>
    <w:rPr>
      <w:kern w:val="2"/>
      <w:sz w:val="21"/>
      <w:szCs w:val="22"/>
    </w:rPr>
  </w:style>
  <w:style w:type="paragraph" w:styleId="BalloonText">
    <w:name w:val="Balloon Text"/>
    <w:basedOn w:val="Normal"/>
    <w:link w:val="Char0"/>
    <w:uiPriority w:val="99"/>
    <w:unhideWhenUsed/>
    <w:qFormat/>
    <w:rPr>
      <w:sz w:val="18"/>
      <w:szCs w:val="18"/>
    </w:rPr>
  </w:style>
  <w:style w:type="character" w:customStyle="1" w:styleId="Char0">
    <w:name w:val="批注框文本 Char"/>
    <w:basedOn w:val="DefaultParagraphFont"/>
    <w:link w:val="BalloonText"/>
    <w:uiPriority w:val="99"/>
    <w:semiHidden/>
    <w:qFormat/>
    <w:rPr>
      <w:kern w:val="2"/>
      <w:sz w:val="18"/>
      <w:szCs w:val="18"/>
    </w:rPr>
  </w:style>
  <w:style w:type="paragraph" w:styleId="Footer">
    <w:name w:val="footer"/>
    <w:basedOn w:val="Normal"/>
    <w:uiPriority w:val="99"/>
    <w:unhideWhenUsed/>
    <w:qFormat/>
    <w:pPr>
      <w:tabs>
        <w:tab w:val="center" w:pos="4153"/>
        <w:tab w:val="right" w:pos="8306"/>
      </w:tabs>
      <w:snapToGrid w:val="0"/>
      <w:jc w:val="left"/>
    </w:pPr>
    <w:rPr>
      <w:sz w:val="18"/>
    </w:rPr>
  </w:style>
  <w:style w:type="paragraph" w:styleId="Header">
    <w:name w:val="header"/>
    <w:basedOn w:val="Normal"/>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CommentSubject">
    <w:name w:val="annotation subject"/>
    <w:basedOn w:val="CommentText"/>
    <w:next w:val="CommentText"/>
    <w:link w:val="Char1"/>
    <w:uiPriority w:val="99"/>
    <w:unhideWhenUsed/>
    <w:qFormat/>
    <w:rPr>
      <w:b/>
      <w:bCs/>
    </w:rPr>
  </w:style>
  <w:style w:type="character" w:customStyle="1" w:styleId="Char1">
    <w:name w:val="批注主题 Char"/>
    <w:basedOn w:val="Char"/>
    <w:link w:val="CommentSubject"/>
    <w:uiPriority w:val="99"/>
    <w:semiHidden/>
    <w:qFormat/>
    <w:rPr>
      <w:b/>
      <w:bCs/>
      <w:kern w:val="2"/>
      <w:sz w:val="21"/>
      <w:szCs w:val="22"/>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qFormat/>
    <w:rPr>
      <w:sz w:val="21"/>
      <w:szCs w:val="21"/>
    </w:rPr>
  </w:style>
  <w:style w:type="paragraph" w:customStyle="1" w:styleId="a">
    <w:name w:val="段"/>
    <w:link w:val="Char2"/>
    <w:qFormat/>
    <w:pPr>
      <w:tabs>
        <w:tab w:val="center" w:pos="4201"/>
        <w:tab w:val="right" w:leader="dot" w:pos="9298"/>
      </w:tabs>
      <w:autoSpaceDE w:val="0"/>
      <w:autoSpaceDN w:val="0"/>
      <w:ind w:firstLine="420" w:firstLineChars="200"/>
      <w:jc w:val="both"/>
    </w:pPr>
    <w:rPr>
      <w:rFonts w:ascii="宋体" w:eastAsia="宋体" w:hAnsi="Times New Roman" w:cs="Times New Roman"/>
      <w:sz w:val="21"/>
      <w:lang w:val="en-US" w:eastAsia="zh-CN" w:bidi="ar-SA"/>
    </w:rPr>
  </w:style>
  <w:style w:type="character" w:customStyle="1" w:styleId="Char2">
    <w:name w:val="段 Char"/>
    <w:link w:val="a"/>
    <w:qFormat/>
    <w:rPr>
      <w:rFonts w:ascii="宋体" w:eastAsia="宋体" w:hAnsi="Times New Roman" w:cs="Times New Roman"/>
      <w:kern w:val="0"/>
      <w:szCs w:val="20"/>
    </w:rPr>
  </w:style>
  <w:style w:type="paragraph" w:customStyle="1" w:styleId="1">
    <w:name w:val="列出段落1"/>
    <w:basedOn w:val="Normal"/>
    <w:uiPriority w:val="34"/>
    <w:qFormat/>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bin"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oleObject" Target="embeddings/oleObject6.bin" /><Relationship Id="rId15" Type="http://schemas.openxmlformats.org/officeDocument/2006/relationships/image" Target="media/image6.wmf" /><Relationship Id="rId16" Type="http://schemas.openxmlformats.org/officeDocument/2006/relationships/oleObject" Target="embeddings/oleObject7.bin" /><Relationship Id="rId17" Type="http://schemas.openxmlformats.org/officeDocument/2006/relationships/oleObject" Target="embeddings/oleObject8.bin" /><Relationship Id="rId18" Type="http://schemas.openxmlformats.org/officeDocument/2006/relationships/image" Target="media/image7.wmf" /><Relationship Id="rId19" Type="http://schemas.openxmlformats.org/officeDocument/2006/relationships/oleObject" Target="embeddings/oleObject9.bin" /><Relationship Id="rId2" Type="http://schemas.openxmlformats.org/officeDocument/2006/relationships/webSettings" Target="webSettings.xml" /><Relationship Id="rId20" Type="http://schemas.openxmlformats.org/officeDocument/2006/relationships/oleObject" Target="embeddings/oleObject10.bin" /><Relationship Id="rId21" Type="http://schemas.openxmlformats.org/officeDocument/2006/relationships/image" Target="media/image8.wmf" /><Relationship Id="rId22" Type="http://schemas.openxmlformats.org/officeDocument/2006/relationships/oleObject" Target="embeddings/oleObject11.bin" /><Relationship Id="rId23" Type="http://schemas.openxmlformats.org/officeDocument/2006/relationships/oleObject" Target="embeddings/oleObject12.bin" /><Relationship Id="rId24" Type="http://schemas.openxmlformats.org/officeDocument/2006/relationships/image" Target="media/image9.wmf" /><Relationship Id="rId25" Type="http://schemas.openxmlformats.org/officeDocument/2006/relationships/oleObject" Target="embeddings/oleObject13.bin" /><Relationship Id="rId26" Type="http://schemas.openxmlformats.org/officeDocument/2006/relationships/oleObject" Target="embeddings/oleObject14.bin" /><Relationship Id="rId27" Type="http://schemas.openxmlformats.org/officeDocument/2006/relationships/image" Target="media/image10.wmf" /><Relationship Id="rId28" Type="http://schemas.openxmlformats.org/officeDocument/2006/relationships/oleObject" Target="embeddings/oleObject15.bin" /><Relationship Id="rId29" Type="http://schemas.openxmlformats.org/officeDocument/2006/relationships/oleObject" Target="embeddings/oleObject16.bin" /><Relationship Id="rId3" Type="http://schemas.openxmlformats.org/officeDocument/2006/relationships/fontTable" Target="fontTable.xml" /><Relationship Id="rId30" Type="http://schemas.openxmlformats.org/officeDocument/2006/relationships/image" Target="media/image11.wmf" /><Relationship Id="rId31" Type="http://schemas.openxmlformats.org/officeDocument/2006/relationships/oleObject" Target="embeddings/oleObject17.bin" /><Relationship Id="rId32" Type="http://schemas.openxmlformats.org/officeDocument/2006/relationships/oleObject" Target="embeddings/oleObject18.bin" /><Relationship Id="rId33" Type="http://schemas.openxmlformats.org/officeDocument/2006/relationships/image" Target="media/image12.wmf" /><Relationship Id="rId34" Type="http://schemas.openxmlformats.org/officeDocument/2006/relationships/oleObject" Target="embeddings/oleObject19.bin" /><Relationship Id="rId35" Type="http://schemas.openxmlformats.org/officeDocument/2006/relationships/oleObject" Target="embeddings/oleObject20.bin" /><Relationship Id="rId36" Type="http://schemas.openxmlformats.org/officeDocument/2006/relationships/image" Target="media/image13.wmf" /><Relationship Id="rId37" Type="http://schemas.openxmlformats.org/officeDocument/2006/relationships/oleObject" Target="embeddings/oleObject21.bin" /><Relationship Id="rId38" Type="http://schemas.openxmlformats.org/officeDocument/2006/relationships/oleObject" Target="embeddings/oleObject22.bin" /><Relationship Id="rId39" Type="http://schemas.openxmlformats.org/officeDocument/2006/relationships/image" Target="media/image14.wmf" /><Relationship Id="rId4" Type="http://schemas.openxmlformats.org/officeDocument/2006/relationships/image" Target="media/image1.wmf" /><Relationship Id="rId40" Type="http://schemas.openxmlformats.org/officeDocument/2006/relationships/oleObject" Target="embeddings/oleObject23.bin" /><Relationship Id="rId41" Type="http://schemas.openxmlformats.org/officeDocument/2006/relationships/oleObject" Target="embeddings/oleObject24.bin" /><Relationship Id="rId42" Type="http://schemas.openxmlformats.org/officeDocument/2006/relationships/image" Target="media/image15.wmf" /><Relationship Id="rId43" Type="http://schemas.openxmlformats.org/officeDocument/2006/relationships/oleObject" Target="embeddings/oleObject25.bin" /><Relationship Id="rId44" Type="http://schemas.openxmlformats.org/officeDocument/2006/relationships/oleObject" Target="embeddings/oleObject26.bin" /><Relationship Id="rId45" Type="http://schemas.openxmlformats.org/officeDocument/2006/relationships/footer" Target="footer1.xml" /><Relationship Id="rId46" Type="http://schemas.openxmlformats.org/officeDocument/2006/relationships/theme" Target="theme/theme1.xml" /><Relationship Id="rId47" Type="http://schemas.openxmlformats.org/officeDocument/2006/relationships/styles" Target="styles.xml"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157268640</TotalTime>
  <Pages>17</Pages>
  <Words>1304</Words>
  <Characters>7436</Characters>
  <Application>Microsoft Office Word</Application>
  <DocSecurity>0</DocSecurity>
  <Lines>61</Lines>
  <Paragraphs>17</Paragraphs>
  <ScaleCrop>false</ScaleCrop>
  <Company>CNIS</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fuyun</dc:creator>
  <cp:lastModifiedBy>gxxc</cp:lastModifiedBy>
  <cp:revision>4</cp:revision>
  <cp:lastPrinted>2023-06-30T14:21:00Z</cp:lastPrinted>
  <dcterms:created xsi:type="dcterms:W3CDTF">2016-07-03T10:03:00Z</dcterms:created>
  <dcterms:modified xsi:type="dcterms:W3CDTF">2025-03-17T15:59:13Z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D64B58CD4B944F61989E0B5A9172E79A_13</vt:lpwstr>
  </property>
  <property fmtid="{D5CDD505-2E9C-101B-9397-08002B2CF9AE}" pid="3" name="KSOProductBuildVer">
    <vt:lpwstr>2052-11.8.2.9958</vt:lpwstr>
  </property>
  <property fmtid="{D5CDD505-2E9C-101B-9397-08002B2CF9AE}" pid="4" name="慧眼令牌">
    <vt:lpwstr>eyJraWQiOiJvYSIsInR5cCI6IkpXVCIsImFsZyI6IkhTMjU2In0.eyJzdWIiOiJPQS1MT0dJTiIsIm5iZiI6MTcxMjEwMTI4MiwiY29ycElkIjoiIiwiaXNzIjoiRVhPQSIsIm5hbWUiOiLlj6TmmKXmooUiLCJleHAiOjIwMjc0NjQ4ODIsImlhdCI6MTcxMjEwNDI4MiwidXNlcklkIjoxMzU4MiwianRpIjoib2EiLCJhY2NvdW50IjoiZ3VjbSJ9.ddUCbmC5H7baSQstm0IiIAJOFg6ylYLmzaWUxNNdhfg</vt:lpwstr>
  </property>
</Properties>
</file>