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附件2</w:t>
      </w:r>
    </w:p>
    <w:p>
      <w:pPr>
        <w:spacing w:before="160" w:line="495" w:lineRule="exact"/>
        <w:ind w:left="3735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position w:val="2"/>
          <w:sz w:val="35"/>
          <w:szCs w:val="35"/>
        </w:rPr>
        <w:t>名词解释</w:t>
      </w:r>
    </w:p>
    <w:bookmarkEnd w:id="0"/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01" w:line="347" w:lineRule="auto"/>
        <w:ind w:left="3" w:right="2" w:firstLine="665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rFonts w:ascii="楷体" w:hAnsi="楷体" w:eastAsia="楷体" w:cs="楷体"/>
          <w:spacing w:val="7"/>
        </w:rPr>
        <w:t>供应链主导企业</w:t>
      </w:r>
      <w:r>
        <w:rPr>
          <w:spacing w:val="7"/>
        </w:rPr>
        <w:t>：在供应链中位居主体地</w:t>
      </w:r>
      <w:r>
        <w:rPr>
          <w:spacing w:val="6"/>
        </w:rPr>
        <w:t>位，对供应链大</w:t>
      </w:r>
      <w:r>
        <w:rPr>
          <w:spacing w:val="5"/>
        </w:rPr>
        <w:t>部分企业的资源配置和应用具有较强的直接或间接影响力，能主</w:t>
      </w:r>
      <w:r>
        <w:rPr>
          <w:spacing w:val="9"/>
        </w:rPr>
        <w:t>导行业生态和资源整合，提升供应链绩效的企</w:t>
      </w:r>
      <w:r>
        <w:rPr>
          <w:spacing w:val="8"/>
        </w:rPr>
        <w:t>业。</w:t>
      </w:r>
    </w:p>
    <w:p>
      <w:pPr>
        <w:pStyle w:val="2"/>
        <w:spacing w:before="52" w:line="342" w:lineRule="auto"/>
        <w:ind w:left="6" w:right="2" w:firstLine="632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rFonts w:ascii="楷体" w:hAnsi="楷体" w:eastAsia="楷体" w:cs="楷体"/>
          <w:spacing w:val="8"/>
        </w:rPr>
        <w:t>流程互通</w:t>
      </w:r>
      <w:r>
        <w:rPr>
          <w:spacing w:val="8"/>
        </w:rPr>
        <w:t>：通过一定的管理和技术手段，促使供</w:t>
      </w:r>
      <w:r>
        <w:rPr>
          <w:spacing w:val="7"/>
        </w:rPr>
        <w:t>应链中两</w:t>
      </w:r>
      <w:r>
        <w:rPr>
          <w:spacing w:val="9"/>
        </w:rPr>
        <w:t>个或多个关联业务活动实现相互交流、相互连接的过</w:t>
      </w:r>
      <w:r>
        <w:rPr>
          <w:spacing w:val="8"/>
        </w:rPr>
        <w:t>程。</w:t>
      </w:r>
    </w:p>
    <w:p>
      <w:pPr>
        <w:pStyle w:val="2"/>
        <w:spacing w:before="50" w:line="342" w:lineRule="auto"/>
        <w:ind w:left="5" w:right="2" w:firstLine="640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rFonts w:ascii="楷体" w:hAnsi="楷体" w:eastAsia="楷体" w:cs="楷体"/>
          <w:spacing w:val="7"/>
        </w:rPr>
        <w:t>供应链要素资源</w:t>
      </w:r>
      <w:r>
        <w:rPr>
          <w:spacing w:val="7"/>
        </w:rPr>
        <w:t>：在生产及流通过程中，保障供应链高效</w:t>
      </w:r>
      <w:r>
        <w:rPr>
          <w:spacing w:val="9"/>
        </w:rPr>
        <w:t>运行所必须具备的人力、物力、资金、信息等要素资源。</w:t>
      </w:r>
    </w:p>
    <w:p>
      <w:pPr>
        <w:pStyle w:val="2"/>
        <w:spacing w:before="56" w:line="351" w:lineRule="auto"/>
        <w:ind w:firstLine="637"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rFonts w:ascii="楷体" w:hAnsi="楷体" w:eastAsia="楷体" w:cs="楷体"/>
          <w:spacing w:val="5"/>
        </w:rPr>
        <w:t>产品服务化</w:t>
      </w:r>
      <w:r>
        <w:rPr>
          <w:spacing w:val="5"/>
        </w:rPr>
        <w:t>：以产品为主导，将产品与相关服务（如售前咨询、安装和调试、保修维护等）结合的一种生产经营模式。该模式中，服务成为产品的一个重要组成部分，通过为用户提供全面、差异化的服务指导和产品支持，提升用户体验，提高用户对</w:t>
      </w:r>
      <w:r>
        <w:rPr>
          <w:spacing w:val="8"/>
        </w:rPr>
        <w:t>产品的满意度和忠诚度。</w:t>
      </w:r>
    </w:p>
    <w:p>
      <w:pPr>
        <w:pStyle w:val="2"/>
        <w:spacing w:before="49" w:line="220" w:lineRule="auto"/>
        <w:jc w:val="right"/>
      </w:pP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rFonts w:ascii="楷体" w:hAnsi="楷体" w:eastAsia="楷体" w:cs="楷体"/>
          <w:spacing w:val="5"/>
        </w:rPr>
        <w:t>服务产品化</w:t>
      </w:r>
      <w:r>
        <w:rPr>
          <w:spacing w:val="5"/>
        </w:rPr>
        <w:t>：以服务为主导，将非实物性的服务（如咨询</w:t>
      </w:r>
    </w:p>
    <w:p>
      <w:pPr>
        <w:spacing w:line="220" w:lineRule="auto"/>
        <w:sectPr>
          <w:footerReference r:id="rId5" w:type="default"/>
          <w:pgSz w:w="11906" w:h="16839"/>
          <w:pgMar w:top="1431" w:right="1472" w:bottom="1113" w:left="1595" w:header="0" w:footer="845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8" w:firstLine="7"/>
        <w:jc w:val="both"/>
      </w:pPr>
      <w:r>
        <w:rPr>
          <w:spacing w:val="5"/>
        </w:rPr>
        <w:t>服务、安装服务、解决方案等）转化成产品的生产经营模式。该</w:t>
      </w:r>
      <w:r>
        <w:rPr>
          <w:spacing w:val="-2"/>
        </w:rPr>
        <w:t>模式通过构建专业、规范、敏捷的服务体系，将明确的、标准的、</w:t>
      </w:r>
      <w:r>
        <w:rPr>
          <w:spacing w:val="5"/>
        </w:rPr>
        <w:t>可量化的非实物性产品交付给用户。服务产品化使服务更有可见性、可比性和可复制性，是服务走向规范化、规模化和标准化的</w:t>
      </w:r>
      <w:r>
        <w:rPr>
          <w:spacing w:val="9"/>
        </w:rPr>
        <w:t>重要手段，也是提高产品竞争力的重要助推器。</w:t>
      </w:r>
    </w:p>
    <w:p>
      <w:pPr>
        <w:pStyle w:val="2"/>
        <w:spacing w:before="47" w:line="347" w:lineRule="auto"/>
        <w:ind w:left="20" w:right="97" w:firstLine="634"/>
        <w:jc w:val="both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rFonts w:ascii="楷体" w:hAnsi="楷体" w:eastAsia="楷体" w:cs="楷体"/>
          <w:spacing w:val="7"/>
        </w:rPr>
        <w:t>价值流分析</w:t>
      </w:r>
      <w:r>
        <w:rPr>
          <w:spacing w:val="7"/>
        </w:rPr>
        <w:t>：用于分析产品或服务交付所涉及的物料与信</w:t>
      </w:r>
      <w:r>
        <w:rPr>
          <w:spacing w:val="5"/>
        </w:rPr>
        <w:t>息流的精益工具，其主要是通过绘制价值流图，让企业相关人员充分理解价值是如何产生的，以及浪费所在环节。</w:t>
      </w:r>
    </w:p>
    <w:p>
      <w:pPr>
        <w:pStyle w:val="2"/>
        <w:spacing w:before="55" w:line="343" w:lineRule="auto"/>
        <w:ind w:left="33" w:right="97" w:firstLine="619"/>
      </w:pPr>
      <w:r>
        <w:rPr>
          <w:rFonts w:ascii="Times New Roman" w:hAnsi="Times New Roman" w:eastAsia="Times New Roman" w:cs="Times New Roman"/>
          <w:spacing w:val="20"/>
        </w:rPr>
        <w:t>7.</w:t>
      </w:r>
      <w:r>
        <w:rPr>
          <w:rFonts w:ascii="楷体" w:hAnsi="楷体" w:eastAsia="楷体" w:cs="楷体"/>
          <w:spacing w:val="20"/>
        </w:rPr>
        <w:t>过量生产浪费</w:t>
      </w:r>
      <w:r>
        <w:rPr>
          <w:spacing w:val="20"/>
        </w:rPr>
        <w:t>：产量超过需求量或者提前生产引</w:t>
      </w:r>
      <w:r>
        <w:rPr>
          <w:spacing w:val="19"/>
        </w:rPr>
        <w:t>起的浪</w:t>
      </w:r>
      <w:r>
        <w:rPr>
          <w:spacing w:val="-13"/>
        </w:rPr>
        <w:t>费。</w:t>
      </w:r>
    </w:p>
    <w:p>
      <w:pPr>
        <w:pStyle w:val="2"/>
        <w:spacing w:before="46" w:line="348" w:lineRule="auto"/>
        <w:ind w:left="12" w:right="97" w:firstLine="647"/>
        <w:jc w:val="both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rFonts w:ascii="楷体" w:hAnsi="楷体" w:eastAsia="楷体" w:cs="楷体"/>
          <w:spacing w:val="7"/>
        </w:rPr>
        <w:t>多余工序浪费</w:t>
      </w:r>
      <w:r>
        <w:rPr>
          <w:spacing w:val="7"/>
        </w:rPr>
        <w:t>：在物料或信息处理中，并未给客户带来增</w:t>
      </w:r>
      <w:r>
        <w:rPr>
          <w:spacing w:val="5"/>
        </w:rPr>
        <w:t>值服务的工序浪费，如物料搬运浪费、生产动作冗余及重复劳动</w:t>
      </w:r>
      <w:r>
        <w:rPr>
          <w:spacing w:val="4"/>
        </w:rPr>
        <w:t>浪费等。</w:t>
      </w:r>
    </w:p>
    <w:p>
      <w:pPr>
        <w:pStyle w:val="2"/>
        <w:spacing w:before="47" w:line="341" w:lineRule="auto"/>
        <w:ind w:left="14" w:right="138" w:firstLine="638"/>
      </w:pPr>
      <w:r>
        <w:rPr>
          <w:rFonts w:ascii="Times New Roman" w:hAnsi="Times New Roman" w:eastAsia="Times New Roman" w:cs="Times New Roman"/>
          <w:spacing w:val="6"/>
        </w:rPr>
        <w:t>9.</w:t>
      </w:r>
      <w:r>
        <w:rPr>
          <w:rFonts w:ascii="楷体" w:hAnsi="楷体" w:eastAsia="楷体" w:cs="楷体"/>
          <w:spacing w:val="6"/>
        </w:rPr>
        <w:t>缺陷或错误浪费</w:t>
      </w:r>
      <w:r>
        <w:rPr>
          <w:spacing w:val="6"/>
        </w:rPr>
        <w:t>：产品或服务偏离客户的要求或者规范，</w:t>
      </w:r>
      <w:r>
        <w:rPr>
          <w:spacing w:val="8"/>
        </w:rPr>
        <w:t>耗费在操作失误、检查或修正错误上的额外付出。</w:t>
      </w:r>
    </w:p>
    <w:p>
      <w:pPr>
        <w:pStyle w:val="2"/>
        <w:spacing w:before="55" w:line="351" w:lineRule="auto"/>
        <w:ind w:left="13" w:right="95" w:firstLine="664"/>
      </w:pPr>
      <w:r>
        <w:rPr>
          <w:rFonts w:ascii="Times New Roman" w:hAnsi="Times New Roman" w:eastAsia="Times New Roman" w:cs="Times New Roman"/>
          <w:spacing w:val="12"/>
        </w:rPr>
        <w:t>10.</w:t>
      </w:r>
      <w:r>
        <w:rPr>
          <w:rFonts w:ascii="楷体" w:hAnsi="楷体" w:eastAsia="楷体" w:cs="楷体"/>
          <w:spacing w:val="12"/>
        </w:rPr>
        <w:t>供应链管理系统</w:t>
      </w:r>
      <w:r>
        <w:rPr>
          <w:spacing w:val="12"/>
        </w:rPr>
        <w:t>：采用供应链协同管理的理论、技术和</w:t>
      </w:r>
      <w:r>
        <w:rPr>
          <w:spacing w:val="6"/>
        </w:rPr>
        <w:t>方法，依托</w:t>
      </w:r>
      <w:r>
        <w:rPr>
          <w:rFonts w:ascii="Times New Roman" w:hAnsi="Times New Roman" w:eastAsia="Times New Roman" w:cs="Times New Roman"/>
          <w:spacing w:val="6"/>
        </w:rPr>
        <w:t>5G</w:t>
      </w:r>
      <w:r>
        <w:rPr>
          <w:spacing w:val="6"/>
        </w:rPr>
        <w:t>、人工智能、大数据、云计算、区块链等现代信</w:t>
      </w:r>
      <w:r>
        <w:rPr>
          <w:spacing w:val="5"/>
        </w:rPr>
        <w:t>息技术支撑供应链管理，实现供应链上下游企业产品全生命周期</w:t>
      </w:r>
      <w:r>
        <w:rPr>
          <w:spacing w:val="-6"/>
        </w:rPr>
        <w:t>业务紧密配合、无缝对接，形成商流、物流、资金流、信息流“四</w:t>
      </w:r>
      <w:r>
        <w:rPr>
          <w:spacing w:val="8"/>
        </w:rPr>
        <w:t>流合一”的集成服务平台。</w:t>
      </w:r>
    </w:p>
    <w:p>
      <w:pPr>
        <w:pStyle w:val="2"/>
        <w:spacing w:before="53" w:line="220" w:lineRule="auto"/>
        <w:jc w:val="right"/>
      </w:pPr>
      <w:r>
        <w:rPr>
          <w:rFonts w:ascii="Times New Roman" w:hAnsi="Times New Roman" w:eastAsia="Times New Roman" w:cs="Times New Roman"/>
          <w:spacing w:val="4"/>
        </w:rPr>
        <w:t>11.</w:t>
      </w:r>
      <w:r>
        <w:rPr>
          <w:rFonts w:ascii="楷体" w:hAnsi="楷体" w:eastAsia="楷体" w:cs="楷体"/>
          <w:spacing w:val="4"/>
        </w:rPr>
        <w:t>绿色属性</w:t>
      </w:r>
      <w:r>
        <w:rPr>
          <w:spacing w:val="4"/>
        </w:rPr>
        <w:t>：包括资源、生态环境和人体健康与安全属性。</w:t>
      </w:r>
    </w:p>
    <w:p>
      <w:pPr>
        <w:spacing w:line="220" w:lineRule="auto"/>
        <w:sectPr>
          <w:footerReference r:id="rId6" w:type="default"/>
          <w:pgSz w:w="11906" w:h="16839"/>
          <w:pgMar w:top="1431" w:right="1378" w:bottom="1113" w:left="1586" w:header="0" w:footer="85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left="5" w:firstLine="660"/>
      </w:pPr>
      <w:r>
        <w:rPr>
          <w:rFonts w:ascii="Times New Roman" w:hAnsi="Times New Roman" w:eastAsia="Times New Roman" w:cs="Times New Roman"/>
          <w:spacing w:val="12"/>
        </w:rPr>
        <w:t>12.</w:t>
      </w:r>
      <w:r>
        <w:rPr>
          <w:rFonts w:ascii="楷体" w:hAnsi="楷体" w:eastAsia="楷体" w:cs="楷体"/>
          <w:spacing w:val="12"/>
        </w:rPr>
        <w:t>可再生材料：</w:t>
      </w:r>
      <w:r>
        <w:rPr>
          <w:spacing w:val="12"/>
        </w:rPr>
        <w:t>经过加工处理可重新获得使用价值的原材</w:t>
      </w:r>
      <w:r>
        <w:rPr>
          <w:spacing w:val="7"/>
        </w:rPr>
        <w:t>料，如铜、铁、铝等。</w:t>
      </w:r>
    </w:p>
    <w:p>
      <w:pPr>
        <w:pStyle w:val="2"/>
        <w:spacing w:before="51" w:line="347" w:lineRule="auto"/>
        <w:ind w:firstLine="665"/>
        <w:jc w:val="both"/>
      </w:pPr>
      <w:r>
        <w:rPr>
          <w:rFonts w:ascii="Times New Roman" w:hAnsi="Times New Roman" w:eastAsia="Times New Roman" w:cs="Times New Roman"/>
          <w:spacing w:val="12"/>
        </w:rPr>
        <w:t>13.</w:t>
      </w:r>
      <w:r>
        <w:rPr>
          <w:rFonts w:ascii="楷体" w:hAnsi="楷体" w:eastAsia="楷体" w:cs="楷体"/>
          <w:spacing w:val="12"/>
        </w:rPr>
        <w:t>可降解材料</w:t>
      </w:r>
      <w:r>
        <w:rPr>
          <w:spacing w:val="12"/>
        </w:rPr>
        <w:t>：主要指在土壤微生物和酶的作用下能完全</w:t>
      </w:r>
      <w:r>
        <w:rPr>
          <w:spacing w:val="5"/>
        </w:rPr>
        <w:t>分解、最终转化成二氧化碳和水，而成为自然界中碳素循环组成</w:t>
      </w:r>
      <w:r>
        <w:rPr>
          <w:spacing w:val="8"/>
        </w:rPr>
        <w:t>部分的生物可降解材料，如木材、棉花等。</w:t>
      </w:r>
    </w:p>
    <w:p>
      <w:pPr>
        <w:pStyle w:val="2"/>
        <w:spacing w:before="51" w:line="342" w:lineRule="auto"/>
        <w:ind w:left="17" w:firstLine="648"/>
      </w:pPr>
      <w:r>
        <w:rPr>
          <w:rFonts w:ascii="Times New Roman" w:hAnsi="Times New Roman" w:eastAsia="Times New Roman" w:cs="Times New Roman"/>
          <w:spacing w:val="12"/>
        </w:rPr>
        <w:t>14.</w:t>
      </w:r>
      <w:r>
        <w:rPr>
          <w:rFonts w:ascii="楷体" w:hAnsi="楷体" w:eastAsia="楷体" w:cs="楷体"/>
          <w:spacing w:val="12"/>
        </w:rPr>
        <w:t>产品碳足迹</w:t>
      </w:r>
      <w:r>
        <w:rPr>
          <w:spacing w:val="12"/>
        </w:rPr>
        <w:t>：组织产品生产或服务提供等过程中系统的</w:t>
      </w:r>
      <w:r>
        <w:rPr>
          <w:spacing w:val="6"/>
        </w:rPr>
        <w:t>温室气体排放和清除的总和。</w:t>
      </w:r>
    </w:p>
    <w:p>
      <w:pPr>
        <w:pStyle w:val="2"/>
        <w:spacing w:before="2" w:line="361" w:lineRule="auto"/>
        <w:ind w:left="13" w:firstLine="651"/>
        <w:jc w:val="both"/>
      </w:pPr>
      <w:r>
        <w:rPr>
          <w:rFonts w:ascii="Times New Roman" w:hAnsi="Times New Roman" w:eastAsia="Times New Roman" w:cs="Times New Roman"/>
          <w:spacing w:val="12"/>
        </w:rPr>
        <w:t>15.</w:t>
      </w:r>
      <w:r>
        <w:rPr>
          <w:rFonts w:ascii="楷体" w:hAnsi="楷体" w:eastAsia="楷体" w:cs="楷体"/>
          <w:spacing w:val="12"/>
        </w:rPr>
        <w:t>产业链图谱</w:t>
      </w:r>
      <w:r>
        <w:rPr>
          <w:spacing w:val="12"/>
        </w:rPr>
        <w:t>：展现产业链上中下游及细分环节，反映产</w:t>
      </w:r>
      <w:r>
        <w:rPr>
          <w:spacing w:val="5"/>
        </w:rPr>
        <w:t>业要素的分布情况，标明产业发展前景，辅助进行生产</w:t>
      </w:r>
      <w:r>
        <w:rPr>
          <w:spacing w:val="4"/>
        </w:rPr>
        <w:t>决策或产</w:t>
      </w:r>
      <w:r>
        <w:rPr>
          <w:spacing w:val="7"/>
        </w:rPr>
        <w:t>业政策制定决策的图形或图表。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1" w:lineRule="auto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8"/>
        <w:sz w:val="28"/>
        <w:szCs w:val="28"/>
      </w:rPr>
      <w:t>—</w:t>
    </w:r>
    <w:r>
      <w:rPr>
        <w:rFonts w:ascii="Arial" w:hAnsi="Arial" w:eastAsia="Arial" w:cs="Arial"/>
        <w:spacing w:val="-17"/>
        <w:sz w:val="28"/>
        <w:szCs w:val="28"/>
      </w:rPr>
      <w:t>17</w:t>
    </w:r>
    <w:r>
      <w:rPr>
        <w:rFonts w:ascii="Arial" w:hAnsi="Arial" w:eastAsia="Arial" w:cs="Arial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—18—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jU1NmJkYjVmZGQxYmNhODYwYTEyODUxMDU3YWIifQ=="/>
  </w:docVars>
  <w:rsids>
    <w:rsidRoot w:val="2AEB0FE8"/>
    <w:rsid w:val="2AEB0FE8"/>
    <w:rsid w:val="30960D42"/>
    <w:rsid w:val="4BC6087B"/>
    <w:rsid w:val="6356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2024-05-21T03:00:00Z</dcterms:created>
  <dc:creator>剑雨潇潇</dc:creator>
  <cp:lastModifiedBy>剑雨潇潇</cp:lastModifiedBy>
  <dcterms:modified xsi:type="dcterms:W3CDTF">2024-05-21T03:02:46Z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938F6DB101BE4333BEFC5356A145608C_13</vt:lpwstr>
  </property>
</Properties>
</file>