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both"/>
        <w:textAlignment w:val="auto"/>
        <w:rPr>
          <w:rFonts w:hint="eastAsia" w:ascii="黑体" w:hAnsi="黑体" w:eastAsia="黑体" w:cs="Times New Roman"/>
          <w:snapToGrid/>
          <w:kern w:val="2"/>
          <w:sz w:val="32"/>
          <w:szCs w:val="32"/>
          <w:lang w:eastAsia="zh-CN"/>
        </w:rPr>
      </w:pPr>
      <w:r>
        <w:rPr>
          <w:rFonts w:hint="eastAsia" w:ascii="黑体" w:hAnsi="黑体" w:eastAsia="黑体" w:cs="Times New Roman"/>
          <w:snapToGrid/>
          <w:kern w:val="2"/>
          <w:sz w:val="32"/>
          <w:szCs w:val="32"/>
          <w:lang w:eastAsia="zh-CN"/>
        </w:rPr>
        <w:t>附件</w:t>
      </w:r>
      <w:bookmarkStart w:id="0" w:name="_GoBack"/>
      <w:bookmarkEnd w:id="0"/>
      <w:r>
        <w:rPr>
          <w:rFonts w:hint="eastAsia" w:ascii="黑体" w:hAnsi="黑体" w:eastAsia="黑体" w:cs="Times New Roman"/>
          <w:snapToGrid/>
          <w:kern w:val="2"/>
          <w:sz w:val="32"/>
          <w:szCs w:val="32"/>
          <w:lang w:eastAsia="zh-CN"/>
        </w:rPr>
        <w:t>：</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eastAsia="zh-CN"/>
        </w:rPr>
      </w:pPr>
      <w:r>
        <w:rPr>
          <w:rFonts w:hint="eastAsia" w:ascii="方正小标宋简体" w:hAnsi="Times New Roman" w:eastAsia="方正小标宋简体" w:cs="Times New Roman"/>
          <w:snapToGrid/>
          <w:kern w:val="2"/>
          <w:sz w:val="44"/>
          <w:szCs w:val="44"/>
          <w:lang w:eastAsia="zh-CN"/>
        </w:rPr>
        <w:t>行程安排表(无锡)</w:t>
      </w:r>
    </w:p>
    <w:p>
      <w:pPr>
        <w:spacing w:line="255" w:lineRule="auto"/>
        <w:rPr>
          <w:lang w:eastAsia="zh-CN"/>
        </w:rPr>
      </w:pPr>
    </w:p>
    <w:p>
      <w:pPr>
        <w:spacing w:line="58" w:lineRule="auto"/>
        <w:rPr>
          <w:sz w:val="2"/>
          <w:lang w:eastAsia="zh-CN"/>
        </w:rPr>
      </w:pPr>
    </w:p>
    <w:tbl>
      <w:tblPr>
        <w:tblStyle w:val="9"/>
        <w:tblW w:w="99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2"/>
        <w:gridCol w:w="1476"/>
        <w:gridCol w:w="4194"/>
        <w:gridCol w:w="976"/>
        <w:gridCol w:w="1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2958" w:type="dxa"/>
            <w:gridSpan w:val="2"/>
            <w:vAlign w:val="center"/>
          </w:tcPr>
          <w:p>
            <w:pPr>
              <w:kinsoku/>
              <w:autoSpaceDE/>
              <w:autoSpaceDN/>
              <w:adjustRightInd/>
              <w:snapToGrid/>
              <w:jc w:val="center"/>
              <w:textAlignment w:val="auto"/>
              <w:rPr>
                <w:rFonts w:hint="eastAsia" w:ascii="仿宋_GB2312" w:hAnsi="仿宋_GB2312" w:eastAsia="仿宋_GB2312" w:cs="仿宋_GB2312"/>
                <w:b/>
                <w:bCs/>
                <w:snapToGrid/>
                <w:sz w:val="28"/>
                <w:szCs w:val="28"/>
                <w:lang w:eastAsia="zh-CN"/>
              </w:rPr>
            </w:pPr>
            <w:r>
              <w:rPr>
                <w:rFonts w:hint="eastAsia" w:ascii="仿宋_GB2312" w:hAnsi="仿宋_GB2312" w:eastAsia="仿宋_GB2312" w:cs="仿宋_GB2312"/>
                <w:b/>
                <w:bCs/>
                <w:snapToGrid/>
                <w:sz w:val="28"/>
                <w:szCs w:val="28"/>
                <w:lang w:eastAsia="zh-CN"/>
              </w:rPr>
              <w:t>日期</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bCs/>
                <w:snapToGrid/>
                <w:sz w:val="28"/>
                <w:szCs w:val="28"/>
                <w:lang w:eastAsia="zh-CN"/>
              </w:rPr>
            </w:pPr>
            <w:r>
              <w:rPr>
                <w:rFonts w:hint="eastAsia" w:ascii="仿宋_GB2312" w:hAnsi="仿宋_GB2312" w:eastAsia="仿宋_GB2312" w:cs="仿宋_GB2312"/>
                <w:b/>
                <w:bCs/>
                <w:snapToGrid/>
                <w:sz w:val="28"/>
                <w:szCs w:val="28"/>
                <w:lang w:eastAsia="zh-CN"/>
              </w:rPr>
              <w:t>研修内容</w:t>
            </w:r>
          </w:p>
        </w:tc>
        <w:tc>
          <w:tcPr>
            <w:tcW w:w="976" w:type="dxa"/>
            <w:vAlign w:val="center"/>
          </w:tcPr>
          <w:p>
            <w:pPr>
              <w:kinsoku/>
              <w:autoSpaceDE/>
              <w:autoSpaceDN/>
              <w:adjustRightInd/>
              <w:snapToGrid/>
              <w:jc w:val="center"/>
              <w:textAlignment w:val="auto"/>
              <w:rPr>
                <w:rFonts w:hint="eastAsia" w:ascii="仿宋_GB2312" w:hAnsi="仿宋_GB2312" w:eastAsia="仿宋_GB2312" w:cs="仿宋_GB2312"/>
                <w:b/>
                <w:bCs/>
                <w:snapToGrid/>
                <w:sz w:val="28"/>
                <w:szCs w:val="28"/>
                <w:lang w:eastAsia="zh-CN"/>
              </w:rPr>
            </w:pPr>
            <w:r>
              <w:rPr>
                <w:rFonts w:hint="eastAsia" w:ascii="仿宋_GB2312" w:hAnsi="仿宋_GB2312" w:eastAsia="仿宋_GB2312" w:cs="仿宋_GB2312"/>
                <w:b/>
                <w:bCs/>
                <w:snapToGrid/>
                <w:sz w:val="28"/>
                <w:szCs w:val="28"/>
                <w:lang w:eastAsia="zh-CN"/>
              </w:rPr>
              <w:t>形式</w:t>
            </w:r>
          </w:p>
        </w:tc>
        <w:tc>
          <w:tcPr>
            <w:tcW w:w="1838" w:type="dxa"/>
            <w:vAlign w:val="center"/>
          </w:tcPr>
          <w:p>
            <w:pPr>
              <w:kinsoku/>
              <w:autoSpaceDE/>
              <w:autoSpaceDN/>
              <w:adjustRightInd/>
              <w:snapToGrid/>
              <w:jc w:val="center"/>
              <w:textAlignment w:val="auto"/>
              <w:rPr>
                <w:rFonts w:hint="eastAsia" w:ascii="仿宋_GB2312" w:hAnsi="仿宋_GB2312" w:eastAsia="仿宋_GB2312" w:cs="仿宋_GB2312"/>
                <w:b/>
                <w:bCs/>
                <w:snapToGrid/>
                <w:sz w:val="28"/>
                <w:szCs w:val="28"/>
                <w:lang w:eastAsia="zh-CN"/>
              </w:rPr>
            </w:pPr>
            <w:r>
              <w:rPr>
                <w:rFonts w:hint="eastAsia" w:ascii="仿宋_GB2312" w:hAnsi="仿宋_GB2312" w:eastAsia="仿宋_GB2312" w:cs="仿宋_GB2312"/>
                <w:b/>
                <w:bCs/>
                <w:snapToGrid/>
                <w:sz w:val="28"/>
                <w:szCs w:val="28"/>
                <w:lang w:eastAsia="zh-CN"/>
              </w:rPr>
              <w:t>拟邀师资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1482" w:type="dxa"/>
            <w:vAlign w:val="center"/>
          </w:tcPr>
          <w:p>
            <w:pPr>
              <w:kinsoku/>
              <w:autoSpaceDE/>
              <w:autoSpaceDN/>
              <w:adjustRightInd/>
              <w:snapToGrid/>
              <w:jc w:val="left"/>
              <w:textAlignment w:val="auto"/>
              <w:rPr>
                <w:rFonts w:hint="eastAsia" w:ascii="仿宋_GB2312" w:hAnsi="仿宋_GB2312" w:eastAsia="仿宋_GB2312" w:cs="仿宋_GB2312"/>
                <w:b w:val="0"/>
                <w:bCs w:val="0"/>
                <w:snapToGrid/>
                <w:sz w:val="28"/>
                <w:szCs w:val="28"/>
                <w:lang w:eastAsia="zh-CN"/>
              </w:rPr>
            </w:pPr>
            <w:r>
              <w:rPr>
                <w:rFonts w:hint="eastAsia" w:ascii="仿宋_GB2312" w:hAnsi="仿宋_GB2312" w:eastAsia="仿宋_GB2312" w:cs="仿宋_GB2312"/>
                <w:b w:val="0"/>
                <w:bCs w:val="0"/>
                <w:snapToGrid/>
                <w:sz w:val="28"/>
                <w:szCs w:val="28"/>
                <w:lang w:eastAsia="zh-CN"/>
              </w:rPr>
              <w:t>11月26日（星期日）</w:t>
            </w: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去程</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（全天）</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吉祥航空HO1720 600</w:t>
            </w:r>
          </w:p>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（16：15—18：25）</w:t>
            </w:r>
          </w:p>
          <w:p>
            <w:pPr>
              <w:kinsoku/>
              <w:autoSpaceDE/>
              <w:autoSpaceDN/>
              <w:adjustRightInd/>
              <w:snapToGrid/>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napToGrid/>
                <w:sz w:val="28"/>
                <w:szCs w:val="28"/>
                <w:lang w:eastAsia="zh-CN"/>
              </w:rPr>
              <w:t>柳州飞南京，大巴到无锡</w:t>
            </w:r>
          </w:p>
        </w:tc>
        <w:tc>
          <w:tcPr>
            <w:tcW w:w="976" w:type="dxa"/>
            <w:vAlign w:val="center"/>
          </w:tcPr>
          <w:p>
            <w:pPr>
              <w:jc w:val="center"/>
              <w:rPr>
                <w:rFonts w:hint="eastAsia" w:ascii="仿宋_GB2312" w:hAnsi="仿宋_GB2312" w:eastAsia="仿宋_GB2312" w:cs="仿宋_GB2312"/>
                <w:sz w:val="28"/>
                <w:szCs w:val="28"/>
                <w:lang w:eastAsia="zh-CN"/>
              </w:rPr>
            </w:pPr>
          </w:p>
        </w:tc>
        <w:tc>
          <w:tcPr>
            <w:tcW w:w="183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napToGrid/>
                <w:sz w:val="28"/>
                <w:szCs w:val="28"/>
                <w:lang w:eastAsia="zh-CN"/>
              </w:rPr>
              <w:t>学员统一报到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jc w:val="center"/>
        </w:trPr>
        <w:tc>
          <w:tcPr>
            <w:tcW w:w="1482" w:type="dxa"/>
            <w:vMerge w:val="restart"/>
            <w:tcBorders>
              <w:bottom w:val="nil"/>
            </w:tcBorders>
            <w:vAlign w:val="center"/>
          </w:tcPr>
          <w:p>
            <w:pPr>
              <w:kinsoku/>
              <w:autoSpaceDE/>
              <w:autoSpaceDN/>
              <w:adjustRightInd/>
              <w:snapToGrid/>
              <w:jc w:val="left"/>
              <w:textAlignment w:val="auto"/>
              <w:rPr>
                <w:rFonts w:hint="eastAsia" w:ascii="仿宋_GB2312" w:hAnsi="仿宋_GB2312" w:eastAsia="仿宋_GB2312" w:cs="仿宋_GB2312"/>
                <w:b w:val="0"/>
                <w:bCs w:val="0"/>
                <w:snapToGrid/>
                <w:sz w:val="28"/>
                <w:szCs w:val="28"/>
                <w:lang w:eastAsia="zh-CN"/>
              </w:rPr>
            </w:pPr>
            <w:r>
              <w:rPr>
                <w:rFonts w:hint="eastAsia" w:ascii="仿宋_GB2312" w:hAnsi="仿宋_GB2312" w:eastAsia="仿宋_GB2312" w:cs="仿宋_GB2312"/>
                <w:b w:val="0"/>
                <w:bCs w:val="0"/>
                <w:snapToGrid/>
                <w:sz w:val="28"/>
                <w:szCs w:val="28"/>
                <w:lang w:eastAsia="zh-CN"/>
              </w:rPr>
              <w:t>11月27日（星期一）</w:t>
            </w: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上午</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8:30-9:00</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合影 、 开班仪式</w:t>
            </w:r>
          </w:p>
        </w:tc>
        <w:tc>
          <w:tcPr>
            <w:tcW w:w="976" w:type="dxa"/>
            <w:vAlign w:val="center"/>
          </w:tcPr>
          <w:p>
            <w:pPr>
              <w:jc w:val="center"/>
              <w:rPr>
                <w:rFonts w:hint="eastAsia" w:ascii="仿宋_GB2312" w:hAnsi="仿宋_GB2312" w:eastAsia="仿宋_GB2312" w:cs="仿宋_GB2312"/>
                <w:sz w:val="28"/>
                <w:szCs w:val="28"/>
              </w:rPr>
            </w:pPr>
          </w:p>
        </w:tc>
        <w:tc>
          <w:tcPr>
            <w:tcW w:w="1838"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学院 、局领导 班主任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1482" w:type="dxa"/>
            <w:vMerge w:val="continue"/>
            <w:tcBorders>
              <w:top w:val="nil"/>
              <w:bottom w:val="nil"/>
            </w:tcBorders>
            <w:vAlign w:val="center"/>
          </w:tcPr>
          <w:p>
            <w:pPr>
              <w:kinsoku/>
              <w:autoSpaceDE/>
              <w:autoSpaceDN/>
              <w:adjustRightInd/>
              <w:snapToGrid/>
              <w:jc w:val="center"/>
              <w:textAlignment w:val="auto"/>
              <w:rPr>
                <w:rFonts w:hint="eastAsia" w:ascii="仿宋_GB2312" w:hAnsi="仿宋_GB2312" w:eastAsia="仿宋_GB2312" w:cs="仿宋_GB2312"/>
                <w:b w:val="0"/>
                <w:bCs w:val="0"/>
                <w:snapToGrid/>
                <w:sz w:val="28"/>
                <w:szCs w:val="28"/>
                <w:lang w:eastAsia="zh-CN"/>
              </w:rPr>
            </w:pP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上午</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9:00-11:30</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脆弱复苏、曙光乍现：当前国际经济 政治新形势</w:t>
            </w:r>
          </w:p>
        </w:tc>
        <w:tc>
          <w:tcPr>
            <w:tcW w:w="976"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专题讲座</w:t>
            </w:r>
          </w:p>
        </w:tc>
        <w:tc>
          <w:tcPr>
            <w:tcW w:w="1838"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江南大学孙晨光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1482" w:type="dxa"/>
            <w:vMerge w:val="continue"/>
            <w:tcBorders>
              <w:top w:val="nil"/>
            </w:tcBorders>
            <w:vAlign w:val="center"/>
          </w:tcPr>
          <w:p>
            <w:pPr>
              <w:kinsoku/>
              <w:autoSpaceDE/>
              <w:autoSpaceDN/>
              <w:adjustRightInd/>
              <w:snapToGrid/>
              <w:jc w:val="center"/>
              <w:textAlignment w:val="auto"/>
              <w:rPr>
                <w:rFonts w:hint="eastAsia" w:ascii="仿宋_GB2312" w:hAnsi="仿宋_GB2312" w:eastAsia="仿宋_GB2312" w:cs="仿宋_GB2312"/>
                <w:b w:val="0"/>
                <w:bCs w:val="0"/>
                <w:snapToGrid/>
                <w:sz w:val="28"/>
                <w:szCs w:val="28"/>
                <w:lang w:eastAsia="zh-CN"/>
              </w:rPr>
            </w:pP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下午</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14:00-16:30</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农产品保鲜、储运技术与供应链体系 重构</w:t>
            </w:r>
          </w:p>
        </w:tc>
        <w:tc>
          <w:tcPr>
            <w:tcW w:w="976"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专题讲座</w:t>
            </w:r>
          </w:p>
        </w:tc>
        <w:tc>
          <w:tcPr>
            <w:tcW w:w="1838"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江南大学食品学院教授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jc w:val="center"/>
        </w:trPr>
        <w:tc>
          <w:tcPr>
            <w:tcW w:w="1482" w:type="dxa"/>
            <w:vMerge w:val="restart"/>
            <w:tcBorders>
              <w:bottom w:val="nil"/>
            </w:tcBorders>
            <w:vAlign w:val="center"/>
          </w:tcPr>
          <w:p>
            <w:pPr>
              <w:kinsoku/>
              <w:autoSpaceDE/>
              <w:autoSpaceDN/>
              <w:adjustRightInd/>
              <w:snapToGrid/>
              <w:jc w:val="center"/>
              <w:textAlignment w:val="auto"/>
              <w:rPr>
                <w:rFonts w:hint="eastAsia" w:ascii="仿宋_GB2312" w:hAnsi="仿宋_GB2312" w:eastAsia="仿宋_GB2312" w:cs="仿宋_GB2312"/>
                <w:b w:val="0"/>
                <w:bCs w:val="0"/>
                <w:snapToGrid/>
                <w:sz w:val="28"/>
                <w:szCs w:val="28"/>
                <w:lang w:eastAsia="zh-CN"/>
              </w:rPr>
            </w:pPr>
          </w:p>
          <w:p>
            <w:pPr>
              <w:kinsoku/>
              <w:autoSpaceDE/>
              <w:autoSpaceDN/>
              <w:adjustRightInd/>
              <w:snapToGrid/>
              <w:jc w:val="both"/>
              <w:textAlignment w:val="auto"/>
              <w:rPr>
                <w:rFonts w:hint="eastAsia" w:ascii="仿宋_GB2312" w:hAnsi="仿宋_GB2312" w:eastAsia="仿宋_GB2312" w:cs="仿宋_GB2312"/>
                <w:b w:val="0"/>
                <w:bCs w:val="0"/>
                <w:snapToGrid/>
                <w:sz w:val="28"/>
                <w:szCs w:val="28"/>
                <w:lang w:eastAsia="zh-CN"/>
              </w:rPr>
            </w:pPr>
            <w:r>
              <w:rPr>
                <w:rFonts w:hint="eastAsia" w:ascii="仿宋_GB2312" w:hAnsi="仿宋_GB2312" w:eastAsia="仿宋_GB2312" w:cs="仿宋_GB2312"/>
                <w:b w:val="0"/>
                <w:bCs w:val="0"/>
                <w:snapToGrid/>
                <w:sz w:val="28"/>
                <w:szCs w:val="28"/>
                <w:lang w:eastAsia="zh-CN"/>
              </w:rPr>
              <w:t>11月28日（星期二）</w:t>
            </w: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上午</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9:00-11:30</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经济转型与国际化背景下品牌建设的理论创新研究</w:t>
            </w:r>
          </w:p>
        </w:tc>
        <w:tc>
          <w:tcPr>
            <w:tcW w:w="976"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专题讲座</w:t>
            </w:r>
          </w:p>
        </w:tc>
        <w:tc>
          <w:tcPr>
            <w:tcW w:w="1838"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江南大学滕乐法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jc w:val="center"/>
        </w:trPr>
        <w:tc>
          <w:tcPr>
            <w:tcW w:w="1482" w:type="dxa"/>
            <w:vMerge w:val="continue"/>
            <w:tcBorders>
              <w:top w:val="nil"/>
            </w:tcBorders>
            <w:vAlign w:val="center"/>
          </w:tcPr>
          <w:p>
            <w:pPr>
              <w:kinsoku/>
              <w:autoSpaceDE/>
              <w:autoSpaceDN/>
              <w:adjustRightInd/>
              <w:snapToGrid/>
              <w:jc w:val="center"/>
              <w:textAlignment w:val="auto"/>
              <w:rPr>
                <w:rFonts w:hint="eastAsia" w:ascii="仿宋_GB2312" w:hAnsi="仿宋_GB2312" w:eastAsia="仿宋_GB2312" w:cs="仿宋_GB2312"/>
                <w:b w:val="0"/>
                <w:bCs w:val="0"/>
                <w:snapToGrid/>
                <w:sz w:val="28"/>
                <w:szCs w:val="28"/>
                <w:lang w:eastAsia="zh-CN"/>
              </w:rPr>
            </w:pP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下午</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14:00-16:30</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无锡金农生物科技有限公司（全国</w:t>
            </w:r>
          </w:p>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大米蛋白粉行业的领军企业） --</w:t>
            </w:r>
          </w:p>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“产学研”深度融合模式交流</w:t>
            </w:r>
          </w:p>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（江苏省专精特新中小企业）</w:t>
            </w:r>
          </w:p>
        </w:tc>
        <w:tc>
          <w:tcPr>
            <w:tcW w:w="976"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现场教学</w:t>
            </w:r>
          </w:p>
        </w:tc>
        <w:tc>
          <w:tcPr>
            <w:tcW w:w="1838"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班主任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1482" w:type="dxa"/>
            <w:vMerge w:val="restart"/>
            <w:tcBorders>
              <w:bottom w:val="nil"/>
            </w:tcBorders>
            <w:vAlign w:val="center"/>
          </w:tcPr>
          <w:p>
            <w:pPr>
              <w:kinsoku/>
              <w:autoSpaceDE/>
              <w:autoSpaceDN/>
              <w:adjustRightInd/>
              <w:snapToGrid/>
              <w:jc w:val="both"/>
              <w:textAlignment w:val="auto"/>
              <w:rPr>
                <w:rFonts w:hint="eastAsia" w:ascii="仿宋_GB2312" w:hAnsi="仿宋_GB2312" w:eastAsia="仿宋_GB2312" w:cs="仿宋_GB2312"/>
                <w:b w:val="0"/>
                <w:bCs w:val="0"/>
                <w:snapToGrid/>
                <w:sz w:val="28"/>
                <w:szCs w:val="28"/>
                <w:lang w:eastAsia="zh-CN"/>
              </w:rPr>
            </w:pPr>
            <w:r>
              <w:rPr>
                <w:rFonts w:hint="eastAsia" w:ascii="仿宋_GB2312" w:hAnsi="仿宋_GB2312" w:eastAsia="仿宋_GB2312" w:cs="仿宋_GB2312"/>
                <w:b w:val="0"/>
                <w:bCs w:val="0"/>
                <w:snapToGrid/>
                <w:sz w:val="28"/>
                <w:szCs w:val="28"/>
                <w:lang w:eastAsia="zh-CN"/>
              </w:rPr>
              <w:t>11月29日（星期三）</w:t>
            </w: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上午</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9:00-11:30</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企业数字化转型及案例分享</w:t>
            </w:r>
          </w:p>
        </w:tc>
        <w:tc>
          <w:tcPr>
            <w:tcW w:w="976"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专题讲座</w:t>
            </w:r>
          </w:p>
        </w:tc>
        <w:tc>
          <w:tcPr>
            <w:tcW w:w="1838"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江南大学食品学院教授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1482" w:type="dxa"/>
            <w:vMerge w:val="continue"/>
            <w:tcBorders>
              <w:top w:val="nil"/>
            </w:tcBorders>
            <w:vAlign w:val="center"/>
          </w:tcPr>
          <w:p>
            <w:pPr>
              <w:kinsoku/>
              <w:autoSpaceDE/>
              <w:autoSpaceDN/>
              <w:adjustRightInd/>
              <w:snapToGrid/>
              <w:jc w:val="center"/>
              <w:textAlignment w:val="auto"/>
              <w:rPr>
                <w:rFonts w:hint="eastAsia" w:ascii="仿宋_GB2312" w:hAnsi="仿宋_GB2312" w:eastAsia="仿宋_GB2312" w:cs="仿宋_GB2312"/>
                <w:b w:val="0"/>
                <w:bCs w:val="0"/>
                <w:snapToGrid/>
                <w:sz w:val="28"/>
                <w:szCs w:val="28"/>
                <w:lang w:eastAsia="zh-CN"/>
              </w:rPr>
            </w:pP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下午</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14:00-16:30</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无锡小天鹅电器有限公司--智能洗衣机智能制造新模式</w:t>
            </w:r>
          </w:p>
        </w:tc>
        <w:tc>
          <w:tcPr>
            <w:tcW w:w="976"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现场教学</w:t>
            </w:r>
          </w:p>
        </w:tc>
        <w:tc>
          <w:tcPr>
            <w:tcW w:w="1838"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班主任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1482" w:type="dxa"/>
            <w:vMerge w:val="restart"/>
            <w:tcBorders>
              <w:bottom w:val="nil"/>
            </w:tcBorders>
            <w:vAlign w:val="center"/>
          </w:tcPr>
          <w:p>
            <w:pPr>
              <w:kinsoku/>
              <w:autoSpaceDE/>
              <w:autoSpaceDN/>
              <w:adjustRightInd/>
              <w:snapToGrid/>
              <w:jc w:val="both"/>
              <w:textAlignment w:val="auto"/>
              <w:rPr>
                <w:rFonts w:hint="eastAsia" w:ascii="仿宋_GB2312" w:hAnsi="仿宋_GB2312" w:eastAsia="仿宋_GB2312" w:cs="仿宋_GB2312"/>
                <w:b w:val="0"/>
                <w:bCs w:val="0"/>
                <w:snapToGrid/>
                <w:sz w:val="28"/>
                <w:szCs w:val="28"/>
                <w:lang w:eastAsia="zh-CN"/>
              </w:rPr>
            </w:pPr>
            <w:r>
              <w:rPr>
                <w:rFonts w:hint="eastAsia" w:ascii="仿宋_GB2312" w:hAnsi="仿宋_GB2312" w:eastAsia="仿宋_GB2312" w:cs="仿宋_GB2312"/>
                <w:b w:val="0"/>
                <w:bCs w:val="0"/>
                <w:snapToGrid/>
                <w:sz w:val="28"/>
                <w:szCs w:val="28"/>
                <w:lang w:eastAsia="zh-CN"/>
              </w:rPr>
              <w:t>11月30日（星期四）</w:t>
            </w: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上午</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9:00-11:30</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新常态下企业营销策略与开拓市场</w:t>
            </w:r>
          </w:p>
        </w:tc>
        <w:tc>
          <w:tcPr>
            <w:tcW w:w="976"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专题讲座</w:t>
            </w:r>
          </w:p>
        </w:tc>
        <w:tc>
          <w:tcPr>
            <w:tcW w:w="1838"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江南大学商学院教授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jc w:val="center"/>
        </w:trPr>
        <w:tc>
          <w:tcPr>
            <w:tcW w:w="1482" w:type="dxa"/>
            <w:vMerge w:val="continue"/>
            <w:tcBorders>
              <w:top w:val="nil"/>
            </w:tcBorders>
            <w:vAlign w:val="center"/>
          </w:tcPr>
          <w:p>
            <w:pPr>
              <w:kinsoku/>
              <w:autoSpaceDE/>
              <w:autoSpaceDN/>
              <w:adjustRightInd/>
              <w:snapToGrid/>
              <w:jc w:val="center"/>
              <w:textAlignment w:val="auto"/>
              <w:rPr>
                <w:rFonts w:hint="eastAsia" w:ascii="仿宋_GB2312" w:hAnsi="仿宋_GB2312" w:eastAsia="仿宋_GB2312" w:cs="仿宋_GB2312"/>
                <w:b w:val="0"/>
                <w:bCs w:val="0"/>
                <w:snapToGrid/>
                <w:sz w:val="28"/>
                <w:szCs w:val="28"/>
                <w:lang w:eastAsia="zh-CN"/>
              </w:rPr>
            </w:pP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下午</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14:00-16:30</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苏州太湖雪丝绸股份有限公司--互联网+空中丝绸之路营销战略</w:t>
            </w:r>
          </w:p>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（江苏省专精特新中小企业）</w:t>
            </w:r>
          </w:p>
        </w:tc>
        <w:tc>
          <w:tcPr>
            <w:tcW w:w="976"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现场教学</w:t>
            </w:r>
          </w:p>
        </w:tc>
        <w:tc>
          <w:tcPr>
            <w:tcW w:w="1838"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班主任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1482" w:type="dxa"/>
            <w:vMerge w:val="restart"/>
            <w:tcBorders>
              <w:bottom w:val="nil"/>
            </w:tcBorders>
            <w:vAlign w:val="center"/>
          </w:tcPr>
          <w:p>
            <w:pPr>
              <w:kinsoku/>
              <w:autoSpaceDE/>
              <w:autoSpaceDN/>
              <w:adjustRightInd/>
              <w:snapToGrid/>
              <w:jc w:val="both"/>
              <w:textAlignment w:val="auto"/>
              <w:rPr>
                <w:rFonts w:hint="eastAsia" w:ascii="仿宋_GB2312" w:hAnsi="仿宋_GB2312" w:eastAsia="仿宋_GB2312" w:cs="仿宋_GB2312"/>
                <w:b w:val="0"/>
                <w:bCs w:val="0"/>
                <w:snapToGrid/>
                <w:sz w:val="28"/>
                <w:szCs w:val="28"/>
                <w:lang w:eastAsia="zh-CN"/>
              </w:rPr>
            </w:pPr>
            <w:r>
              <w:rPr>
                <w:rFonts w:hint="eastAsia" w:ascii="仿宋_GB2312" w:hAnsi="仿宋_GB2312" w:eastAsia="仿宋_GB2312" w:cs="仿宋_GB2312"/>
                <w:b w:val="0"/>
                <w:bCs w:val="0"/>
                <w:snapToGrid/>
                <w:sz w:val="28"/>
                <w:szCs w:val="28"/>
                <w:lang w:eastAsia="zh-CN"/>
              </w:rPr>
              <w:t>12月1日（星期五）</w:t>
            </w: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上午</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9:00-11:30</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辉瑞无锡制药有限公司</w:t>
            </w:r>
          </w:p>
        </w:tc>
        <w:tc>
          <w:tcPr>
            <w:tcW w:w="976"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现场教学</w:t>
            </w:r>
          </w:p>
        </w:tc>
        <w:tc>
          <w:tcPr>
            <w:tcW w:w="1838"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班主任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482" w:type="dxa"/>
            <w:vMerge w:val="continue"/>
            <w:tcBorders>
              <w:top w:val="nil"/>
              <w:bottom w:val="nil"/>
            </w:tcBorders>
            <w:vAlign w:val="center"/>
          </w:tcPr>
          <w:p>
            <w:pPr>
              <w:kinsoku/>
              <w:autoSpaceDE/>
              <w:autoSpaceDN/>
              <w:adjustRightInd/>
              <w:snapToGrid/>
              <w:jc w:val="center"/>
              <w:textAlignment w:val="auto"/>
              <w:rPr>
                <w:rFonts w:hint="eastAsia" w:ascii="仿宋_GB2312" w:hAnsi="仿宋_GB2312" w:eastAsia="仿宋_GB2312" w:cs="仿宋_GB2312"/>
                <w:b w:val="0"/>
                <w:bCs w:val="0"/>
                <w:snapToGrid/>
                <w:sz w:val="28"/>
                <w:szCs w:val="28"/>
                <w:lang w:eastAsia="zh-CN"/>
              </w:rPr>
            </w:pP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下午</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14:00-16:30</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培育专精特新企业， 助推行业发展， 江苏实践与案例解析</w:t>
            </w:r>
          </w:p>
        </w:tc>
        <w:tc>
          <w:tcPr>
            <w:tcW w:w="976"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专题讲座</w:t>
            </w:r>
          </w:p>
        </w:tc>
        <w:tc>
          <w:tcPr>
            <w:tcW w:w="1838" w:type="dxa"/>
            <w:vAlign w:val="center"/>
          </w:tcPr>
          <w:p>
            <w:pPr>
              <w:widowControl w:val="0"/>
              <w:kinsoku/>
              <w:autoSpaceDE/>
              <w:autoSpaceDN/>
              <w:adjustRightInd/>
              <w:snapToGrid/>
              <w:spacing w:before="100" w:beforeAutospacing="1" w:after="100" w:afterAutospacing="1"/>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江南大学杨百寅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jc w:val="center"/>
        </w:trPr>
        <w:tc>
          <w:tcPr>
            <w:tcW w:w="1482" w:type="dxa"/>
            <w:vMerge w:val="continue"/>
            <w:tcBorders>
              <w:top w:val="nil"/>
            </w:tcBorders>
            <w:vAlign w:val="center"/>
          </w:tcPr>
          <w:p>
            <w:pPr>
              <w:kinsoku/>
              <w:autoSpaceDE/>
              <w:autoSpaceDN/>
              <w:adjustRightInd/>
              <w:snapToGrid/>
              <w:jc w:val="center"/>
              <w:textAlignment w:val="auto"/>
              <w:rPr>
                <w:rFonts w:hint="eastAsia" w:ascii="仿宋_GB2312" w:hAnsi="仿宋_GB2312" w:eastAsia="仿宋_GB2312" w:cs="仿宋_GB2312"/>
                <w:b w:val="0"/>
                <w:bCs w:val="0"/>
                <w:snapToGrid/>
                <w:sz w:val="28"/>
                <w:szCs w:val="28"/>
                <w:lang w:eastAsia="zh-CN"/>
              </w:rPr>
            </w:pP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16:30-17:00</w:t>
            </w:r>
          </w:p>
        </w:tc>
        <w:tc>
          <w:tcPr>
            <w:tcW w:w="7008" w:type="dxa"/>
            <w:gridSpan w:val="3"/>
            <w:vAlign w:val="center"/>
          </w:tcPr>
          <w:p>
            <w:pPr>
              <w:kinsoku/>
              <w:autoSpaceDE/>
              <w:autoSpaceDN/>
              <w:adjustRightInd/>
              <w:snapToGrid/>
              <w:ind w:firstLine="1960" w:firstLineChars="700"/>
              <w:jc w:val="both"/>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结业仪式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jc w:val="center"/>
        </w:trPr>
        <w:tc>
          <w:tcPr>
            <w:tcW w:w="1482" w:type="dxa"/>
            <w:vAlign w:val="center"/>
          </w:tcPr>
          <w:p>
            <w:pPr>
              <w:kinsoku/>
              <w:autoSpaceDE/>
              <w:autoSpaceDN/>
              <w:adjustRightInd/>
              <w:snapToGrid/>
              <w:jc w:val="center"/>
              <w:textAlignment w:val="auto"/>
              <w:rPr>
                <w:rFonts w:hint="eastAsia" w:ascii="仿宋_GB2312" w:hAnsi="仿宋_GB2312" w:eastAsia="仿宋_GB2312" w:cs="仿宋_GB2312"/>
                <w:b w:val="0"/>
                <w:bCs w:val="0"/>
                <w:snapToGrid/>
                <w:sz w:val="28"/>
                <w:szCs w:val="28"/>
                <w:lang w:eastAsia="zh-CN"/>
              </w:rPr>
            </w:pPr>
            <w:r>
              <w:rPr>
                <w:rFonts w:hint="eastAsia" w:ascii="仿宋_GB2312" w:hAnsi="仿宋_GB2312" w:eastAsia="仿宋_GB2312" w:cs="仿宋_GB2312"/>
                <w:b w:val="0"/>
                <w:bCs w:val="0"/>
                <w:snapToGrid/>
                <w:sz w:val="28"/>
                <w:szCs w:val="28"/>
                <w:lang w:eastAsia="zh-CN"/>
              </w:rPr>
              <w:t>12月2日（星期六）</w:t>
            </w:r>
          </w:p>
        </w:tc>
        <w:tc>
          <w:tcPr>
            <w:tcW w:w="14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返程</w:t>
            </w:r>
          </w:p>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(全天)</w:t>
            </w:r>
          </w:p>
        </w:tc>
        <w:tc>
          <w:tcPr>
            <w:tcW w:w="4194" w:type="dxa"/>
            <w:vAlign w:val="center"/>
          </w:tcPr>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吉祥航空HO1719 660</w:t>
            </w:r>
          </w:p>
          <w:p>
            <w:pPr>
              <w:kinsoku/>
              <w:autoSpaceDE/>
              <w:autoSpaceDN/>
              <w:adjustRightInd/>
              <w:snapToGrid/>
              <w:jc w:val="center"/>
              <w:textAlignment w:val="auto"/>
              <w:rPr>
                <w:rFonts w:hint="eastAsia" w:ascii="仿宋_GB2312" w:hAnsi="仿宋_GB2312" w:eastAsia="仿宋_GB2312" w:cs="仿宋_GB2312"/>
                <w:b w:val="0"/>
                <w:bCs/>
                <w:snapToGrid/>
                <w:sz w:val="28"/>
                <w:szCs w:val="28"/>
                <w:lang w:eastAsia="zh-CN"/>
              </w:rPr>
            </w:pPr>
            <w:r>
              <w:rPr>
                <w:rFonts w:hint="eastAsia" w:ascii="仿宋_GB2312" w:hAnsi="仿宋_GB2312" w:eastAsia="仿宋_GB2312" w:cs="仿宋_GB2312"/>
                <w:b w:val="0"/>
                <w:bCs/>
                <w:snapToGrid/>
                <w:sz w:val="28"/>
                <w:szCs w:val="28"/>
                <w:lang w:eastAsia="zh-CN"/>
              </w:rPr>
              <w:t>（12</w:t>
            </w:r>
            <w:r>
              <w:rPr>
                <w:rFonts w:hint="eastAsia" w:ascii="仿宋_GB2312" w:hAnsi="仿宋_GB2312" w:eastAsia="仿宋_GB2312" w:cs="仿宋_GB2312"/>
                <w:snapToGrid/>
                <w:sz w:val="28"/>
                <w:szCs w:val="28"/>
                <w:lang w:eastAsia="zh-CN"/>
              </w:rPr>
              <w:t>:</w:t>
            </w:r>
            <w:r>
              <w:rPr>
                <w:rFonts w:hint="eastAsia" w:ascii="仿宋_GB2312" w:hAnsi="仿宋_GB2312" w:eastAsia="仿宋_GB2312" w:cs="仿宋_GB2312"/>
                <w:b w:val="0"/>
                <w:bCs/>
                <w:snapToGrid/>
                <w:sz w:val="28"/>
                <w:szCs w:val="28"/>
                <w:lang w:eastAsia="zh-CN"/>
              </w:rPr>
              <w:t>45—15</w:t>
            </w:r>
            <w:r>
              <w:rPr>
                <w:rFonts w:hint="eastAsia" w:ascii="仿宋_GB2312" w:hAnsi="仿宋_GB2312" w:eastAsia="仿宋_GB2312" w:cs="仿宋_GB2312"/>
                <w:snapToGrid/>
                <w:sz w:val="28"/>
                <w:szCs w:val="28"/>
                <w:lang w:eastAsia="zh-CN"/>
              </w:rPr>
              <w:t>:</w:t>
            </w:r>
            <w:r>
              <w:rPr>
                <w:rFonts w:hint="eastAsia" w:ascii="仿宋_GB2312" w:hAnsi="仿宋_GB2312" w:eastAsia="仿宋_GB2312" w:cs="仿宋_GB2312"/>
                <w:b w:val="0"/>
                <w:bCs/>
                <w:snapToGrid/>
                <w:sz w:val="28"/>
                <w:szCs w:val="28"/>
                <w:lang w:eastAsia="zh-CN"/>
              </w:rPr>
              <w:t>30）</w:t>
            </w:r>
          </w:p>
          <w:p>
            <w:pPr>
              <w:kinsoku/>
              <w:autoSpaceDE/>
              <w:autoSpaceDN/>
              <w:adjustRightInd/>
              <w:snapToGrid/>
              <w:jc w:val="center"/>
              <w:textAlignment w:val="auto"/>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napToGrid/>
                <w:sz w:val="28"/>
                <w:szCs w:val="28"/>
                <w:lang w:eastAsia="zh-CN"/>
              </w:rPr>
              <w:t>大巴到南京，南京飞柳州</w:t>
            </w:r>
          </w:p>
        </w:tc>
        <w:tc>
          <w:tcPr>
            <w:tcW w:w="976"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p>
        </w:tc>
        <w:tc>
          <w:tcPr>
            <w:tcW w:w="1838" w:type="dxa"/>
            <w:vAlign w:val="center"/>
          </w:tcPr>
          <w:p>
            <w:pPr>
              <w:kinsoku/>
              <w:autoSpaceDE/>
              <w:autoSpaceDN/>
              <w:adjustRightInd/>
              <w:snapToGrid/>
              <w:jc w:val="center"/>
              <w:textAlignment w:val="auto"/>
              <w:rPr>
                <w:rFonts w:hint="eastAsia" w:ascii="仿宋_GB2312" w:hAnsi="仿宋_GB2312" w:eastAsia="仿宋_GB2312" w:cs="仿宋_GB2312"/>
                <w:snapToGrid/>
                <w:sz w:val="28"/>
                <w:szCs w:val="28"/>
                <w:lang w:eastAsia="zh-CN"/>
              </w:rPr>
            </w:pPr>
            <w:r>
              <w:rPr>
                <w:rFonts w:hint="eastAsia" w:ascii="仿宋_GB2312" w:hAnsi="仿宋_GB2312" w:eastAsia="仿宋_GB2312" w:cs="仿宋_GB2312"/>
                <w:snapToGrid/>
                <w:sz w:val="28"/>
                <w:szCs w:val="28"/>
                <w:lang w:eastAsia="zh-CN"/>
              </w:rPr>
              <w:t>学员统一返程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2" w:hRule="atLeast"/>
          <w:jc w:val="center"/>
        </w:trPr>
        <w:tc>
          <w:tcPr>
            <w:tcW w:w="1482" w:type="dxa"/>
            <w:vAlign w:val="center"/>
          </w:tcPr>
          <w:p>
            <w:pPr>
              <w:kinsoku/>
              <w:autoSpaceDE/>
              <w:autoSpaceDN/>
              <w:adjustRightInd/>
              <w:snapToGrid/>
              <w:jc w:val="center"/>
              <w:textAlignment w:val="auto"/>
              <w:rPr>
                <w:rFonts w:hint="eastAsia" w:ascii="仿宋_GB2312" w:hAnsi="仿宋_GB2312" w:eastAsia="仿宋_GB2312" w:cs="仿宋_GB2312"/>
                <w:b/>
                <w:bCs/>
                <w:snapToGrid/>
                <w:sz w:val="28"/>
                <w:szCs w:val="28"/>
                <w:lang w:eastAsia="zh-CN"/>
              </w:rPr>
            </w:pPr>
            <w:r>
              <w:rPr>
                <w:rFonts w:hint="eastAsia" w:ascii="仿宋_GB2312" w:hAnsi="仿宋_GB2312" w:eastAsia="仿宋_GB2312" w:cs="仿宋_GB2312"/>
                <w:sz w:val="28"/>
                <w:szCs w:val="28"/>
              </w:rPr>
              <w:t>备注</w:t>
            </w:r>
          </w:p>
        </w:tc>
        <w:tc>
          <w:tcPr>
            <w:tcW w:w="8484" w:type="dxa"/>
            <w:gridSpan w:val="4"/>
            <w:vAlign w:val="center"/>
          </w:tcPr>
          <w:p>
            <w:pPr>
              <w:pStyle w:val="10"/>
              <w:tabs>
                <w:tab w:val="left" w:pos="2443"/>
                <w:tab w:val="left" w:pos="2893"/>
              </w:tabs>
              <w:spacing w:before="268" w:line="193" w:lineRule="auto"/>
              <w:jc w:val="both"/>
              <w:rPr>
                <w:rFonts w:hint="eastAsia" w:ascii="仿宋_GB2312" w:hAnsi="仿宋_GB2312" w:eastAsia="仿宋_GB2312" w:cs="仿宋_GB2312"/>
                <w:spacing w:val="-7"/>
                <w:sz w:val="28"/>
                <w:szCs w:val="28"/>
                <w:lang w:eastAsia="zh-CN"/>
              </w:rPr>
            </w:pPr>
            <w:r>
              <w:rPr>
                <w:rFonts w:hint="eastAsia" w:ascii="仿宋_GB2312" w:hAnsi="仿宋_GB2312" w:eastAsia="仿宋_GB2312" w:cs="仿宋_GB2312"/>
                <w:sz w:val="28"/>
                <w:szCs w:val="28"/>
                <w:lang w:eastAsia="zh-CN"/>
              </w:rPr>
              <w:t>由于部分老师时间和现场教学存在一定的不确定性风险，所以具体行程会根据实际情况做出部分调整。</w:t>
            </w:r>
          </w:p>
        </w:tc>
      </w:tr>
    </w:tbl>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r>
        <w:rPr>
          <w:rFonts w:hint="eastAsia" w:ascii="方正小标宋简体" w:hAnsi="Times New Roman" w:eastAsia="方正小标宋简体" w:cs="Times New Roman"/>
          <w:snapToGrid/>
          <w:kern w:val="2"/>
          <w:sz w:val="44"/>
          <w:szCs w:val="44"/>
          <w:lang w:val="en-US" w:eastAsia="zh-CN"/>
        </w:rPr>
        <w:t>现场教学点介绍</w:t>
      </w:r>
    </w:p>
    <w:p>
      <w:pPr>
        <w:pStyle w:val="6"/>
        <w:rPr>
          <w:rFonts w:hint="eastAsia"/>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3" w:firstLineChars="200"/>
        <w:jc w:val="both"/>
        <w:textAlignment w:val="auto"/>
        <w:rPr>
          <w:rFonts w:hint="eastAsia" w:ascii="仿宋_GB2312" w:hAnsi="等线" w:eastAsia="仿宋_GB2312" w:cs="宋体"/>
          <w:snapToGrid/>
          <w:color w:val="000000"/>
          <w:kern w:val="2"/>
          <w:sz w:val="32"/>
          <w:szCs w:val="32"/>
          <w:lang w:val="en-US" w:eastAsia="zh-CN"/>
        </w:rPr>
      </w:pPr>
      <w:r>
        <w:rPr>
          <w:rFonts w:hint="eastAsia" w:ascii="仿宋_GB2312" w:hAnsi="等线" w:eastAsia="仿宋_GB2312" w:cs="宋体"/>
          <w:b/>
          <w:bCs/>
          <w:snapToGrid/>
          <w:color w:val="000000"/>
          <w:kern w:val="2"/>
          <w:sz w:val="32"/>
          <w:szCs w:val="32"/>
          <w:lang w:val="en-US" w:eastAsia="zh-CN"/>
        </w:rPr>
        <w:t>1.无锡金农生物科技有限公司</w:t>
      </w:r>
      <w:r>
        <w:rPr>
          <w:rFonts w:hint="eastAsia" w:ascii="仿宋_GB2312" w:hAnsi="等线" w:eastAsia="仿宋_GB2312" w:cs="宋体"/>
          <w:snapToGrid/>
          <w:color w:val="000000"/>
          <w:kern w:val="2"/>
          <w:sz w:val="32"/>
          <w:szCs w:val="32"/>
          <w:lang w:val="en-US" w:eastAsia="zh-CN"/>
        </w:rPr>
        <w:t>拥有专业研发团队，由具有多年研发经验的高级工程师率领一批干练、充满活力的食品工程等方面的优秀人才组成。无锡金农生物科技有限公司自主研发硕果累累，并获得的多项专利，使无锡金农生物科技有限公司的产品研发概念、 技术理论和生产实践都达到行业国际先进水平。</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both"/>
        <w:textAlignment w:val="auto"/>
        <w:rPr>
          <w:rFonts w:hint="eastAsia" w:ascii="仿宋_GB2312" w:hAnsi="等线" w:eastAsia="仿宋_GB2312" w:cs="宋体"/>
          <w:snapToGrid/>
          <w:color w:val="000000"/>
          <w:kern w:val="2"/>
          <w:sz w:val="32"/>
          <w:szCs w:val="32"/>
          <w:lang w:val="en-US" w:eastAsia="zh-CN"/>
        </w:rPr>
      </w:pPr>
      <w:r>
        <w:rPr>
          <w:rFonts w:hint="eastAsia" w:ascii="仿宋_GB2312" w:hAnsi="等线" w:eastAsia="仿宋_GB2312" w:cs="宋体"/>
          <w:snapToGrid/>
          <w:color w:val="000000"/>
          <w:kern w:val="2"/>
          <w:sz w:val="32"/>
          <w:szCs w:val="32"/>
          <w:lang w:val="en-US" w:eastAsia="zh-CN"/>
        </w:rPr>
        <w:t>无锡金农生物科技有限公司与国家211工程重点学校江南大学采取产学研合作，借助高校第三方深厚的研发实力，促进新产品研发。与江南大学食品学院、粮食发酵工艺与技术国家工程实验室合作研发。</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both"/>
        <w:textAlignment w:val="auto"/>
        <w:rPr>
          <w:rFonts w:hint="eastAsia" w:ascii="仿宋_GB2312" w:hAnsi="等线" w:eastAsia="仿宋_GB2312" w:cs="宋体"/>
          <w:snapToGrid/>
          <w:color w:val="000000"/>
          <w:kern w:val="2"/>
          <w:sz w:val="32"/>
          <w:szCs w:val="32"/>
          <w:lang w:val="en-US" w:eastAsia="zh-CN"/>
        </w:rPr>
      </w:pPr>
      <w:r>
        <w:rPr>
          <w:rFonts w:hint="eastAsia" w:ascii="仿宋_GB2312" w:hAnsi="等线" w:eastAsia="仿宋_GB2312" w:cs="宋体"/>
          <w:snapToGrid/>
          <w:color w:val="000000"/>
          <w:kern w:val="2"/>
          <w:sz w:val="32"/>
          <w:szCs w:val="32"/>
          <w:lang w:val="en-US" w:eastAsia="zh-CN"/>
        </w:rPr>
        <w:t>江南大学食品学院在我国同类学科中创建最早、基础最好、覆盖面最广，现拥有我国食品领域中唯一的食品科学与工程国家一级重点学科和食品科学与技术国家重点实验室，拥有国家功能食品工程技术研究中心、粮食发酵工艺与技术国家工程实验室、国家食品企业质量安全检测技术示范中心（无锡），国家粮油标准研究验证中心等平台。</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both"/>
        <w:textAlignment w:val="auto"/>
        <w:rPr>
          <w:rFonts w:hint="eastAsia" w:ascii="仿宋_GB2312" w:hAnsi="等线" w:eastAsia="仿宋_GB2312" w:cs="宋体"/>
          <w:snapToGrid/>
          <w:color w:val="000000"/>
          <w:kern w:val="2"/>
          <w:sz w:val="32"/>
          <w:szCs w:val="32"/>
          <w:lang w:val="en-US" w:eastAsia="zh-CN"/>
        </w:rPr>
      </w:pPr>
      <w:r>
        <w:rPr>
          <w:rFonts w:hint="eastAsia" w:ascii="仿宋_GB2312" w:hAnsi="等线" w:eastAsia="仿宋_GB2312" w:cs="宋体"/>
          <w:snapToGrid/>
          <w:color w:val="000000"/>
          <w:kern w:val="2"/>
          <w:sz w:val="32"/>
          <w:szCs w:val="32"/>
          <w:lang w:val="en-US" w:eastAsia="zh-CN"/>
        </w:rPr>
        <w:t>粮食发酵工艺与技术国家工程实验室始建于2010年，2011年5月获得国家发展与改革委员会批准，是国内粮食发酵领域第一个国家工程实验室。实验室建筑面积9860，拥有教育部功能食品工程研究中心、江苏省生物活性制品加工工程技术研究中心等省部级科技创新公共平台，并作为国家技术转移中心的主要组成部分。</w:t>
      </w:r>
    </w:p>
    <w:p>
      <w:pPr>
        <w:widowControl w:val="0"/>
        <w:kinsoku/>
        <w:autoSpaceDE/>
        <w:autoSpaceDN/>
        <w:adjustRightInd/>
        <w:snapToGrid/>
        <w:spacing w:line="540" w:lineRule="exact"/>
        <w:ind w:firstLine="643" w:firstLineChars="200"/>
        <w:jc w:val="both"/>
        <w:textAlignment w:val="auto"/>
        <w:rPr>
          <w:rFonts w:hint="eastAsia" w:ascii="仿宋_GB2312" w:hAnsi="仿宋" w:eastAsia="仿宋_GB2312" w:cs="Times New Roman"/>
          <w:snapToGrid/>
          <w:kern w:val="2"/>
          <w:sz w:val="32"/>
          <w:szCs w:val="32"/>
          <w:lang w:val="en-US" w:eastAsia="zh-CN"/>
        </w:rPr>
      </w:pPr>
      <w:r>
        <w:rPr>
          <w:rFonts w:hint="eastAsia" w:ascii="仿宋_GB2312" w:hAnsi="仿宋" w:eastAsia="仿宋_GB2312" w:cs="Times New Roman"/>
          <w:b/>
          <w:bCs/>
          <w:snapToGrid/>
          <w:kern w:val="2"/>
          <w:sz w:val="32"/>
          <w:szCs w:val="32"/>
          <w:lang w:val="en-US" w:eastAsia="zh-CN"/>
        </w:rPr>
        <w:t>2.</w:t>
      </w:r>
      <w:r>
        <w:rPr>
          <w:rFonts w:hint="default" w:ascii="仿宋_GB2312" w:hAnsi="仿宋" w:eastAsia="仿宋_GB2312" w:cs="Times New Roman"/>
          <w:b/>
          <w:bCs/>
          <w:snapToGrid/>
          <w:kern w:val="2"/>
          <w:sz w:val="32"/>
          <w:szCs w:val="32"/>
          <w:lang w:val="en-US" w:eastAsia="zh-CN"/>
        </w:rPr>
        <w:t>无锡小天鹅股份有限公司</w:t>
      </w:r>
      <w:r>
        <w:rPr>
          <w:rFonts w:hint="default" w:ascii="仿宋_GB2312" w:hAnsi="仿宋" w:eastAsia="仿宋_GB2312" w:cs="Times New Roman"/>
          <w:snapToGrid/>
          <w:kern w:val="2"/>
          <w:sz w:val="32"/>
          <w:szCs w:val="32"/>
          <w:lang w:val="en-US" w:eastAsia="zh-CN"/>
        </w:rPr>
        <w:t>前身始建于1958年。从1978年中国第一台全自动洗衣机的诞生到2015年品牌价值达200亿元，成为世界上极少数能同时制造全自动波轮、滚筒、搅拌式全种类洗衣机的家电制造商，小天鹅历史上的每一次进步都印证着今天成功的脚步。</w:t>
      </w:r>
    </w:p>
    <w:p>
      <w:pPr>
        <w:widowControl w:val="0"/>
        <w:kinsoku/>
        <w:autoSpaceDE/>
        <w:autoSpaceDN/>
        <w:adjustRightInd/>
        <w:snapToGrid/>
        <w:spacing w:line="540" w:lineRule="exact"/>
        <w:ind w:firstLine="643" w:firstLineChars="200"/>
        <w:jc w:val="both"/>
        <w:textAlignment w:val="auto"/>
        <w:rPr>
          <w:rFonts w:hint="default" w:ascii="仿宋_GB2312" w:hAnsi="仿宋" w:eastAsia="仿宋_GB2312" w:cs="Times New Roman"/>
          <w:snapToGrid/>
          <w:kern w:val="2"/>
          <w:sz w:val="32"/>
          <w:szCs w:val="32"/>
          <w:lang w:val="en-US" w:eastAsia="zh-CN"/>
        </w:rPr>
      </w:pPr>
      <w:r>
        <w:rPr>
          <w:rFonts w:hint="eastAsia" w:ascii="仿宋_GB2312" w:hAnsi="仿宋" w:eastAsia="仿宋_GB2312" w:cs="Times New Roman"/>
          <w:b/>
          <w:bCs/>
          <w:snapToGrid/>
          <w:kern w:val="2"/>
          <w:sz w:val="32"/>
          <w:szCs w:val="32"/>
          <w:lang w:val="en-US" w:eastAsia="zh-CN"/>
        </w:rPr>
        <w:t>3.苏州太湖雪丝绸股份有限公司</w:t>
      </w:r>
      <w:r>
        <w:rPr>
          <w:rFonts w:hint="eastAsia" w:ascii="仿宋_GB2312" w:hAnsi="仿宋" w:eastAsia="仿宋_GB2312" w:cs="Times New Roman"/>
          <w:snapToGrid/>
          <w:kern w:val="2"/>
          <w:sz w:val="32"/>
          <w:szCs w:val="32"/>
          <w:lang w:val="en-US" w:eastAsia="zh-CN"/>
        </w:rPr>
        <w:t xml:space="preserve"> </w:t>
      </w:r>
      <w:r>
        <w:rPr>
          <w:rFonts w:hint="default" w:ascii="仿宋_GB2312" w:hAnsi="仿宋" w:eastAsia="仿宋_GB2312" w:cs="Times New Roman"/>
          <w:snapToGrid/>
          <w:kern w:val="2"/>
          <w:sz w:val="32"/>
          <w:szCs w:val="32"/>
          <w:lang w:val="en-US" w:eastAsia="zh-CN"/>
        </w:rPr>
        <w:t>世界丝绸看中国，中国是蚕桑的原产地，素有“东方丝国”的美称，蚕桑丝绸文化是中华文明的重要组成部分，至今已有五千多年历史。自古以来，丝绸伴随着“丝绸之路”及“海上丝绸之路”贸易传遍世界，成为中华文明的一张闪亮名片。公司以“太湖雪”品牌为核心（海外市场品牌为THXSILK），专业从事丝绸相关产品的研发设计、生产制造、品牌推广、渠道建设和销售服务。在新消费、新国货、新零售的背景下，努力弘扬中华丝绸文化，打响新国货丝绸品牌。</w:t>
      </w:r>
    </w:p>
    <w:p>
      <w:pPr>
        <w:widowControl w:val="0"/>
        <w:kinsoku/>
        <w:autoSpaceDE/>
        <w:autoSpaceDN/>
        <w:adjustRightInd/>
        <w:snapToGrid/>
        <w:spacing w:line="540" w:lineRule="exact"/>
        <w:ind w:firstLine="640" w:firstLineChars="200"/>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经过十多年的深耕发展，公司形成了蚕丝被、床品套件、丝绸饰品、丝绸服饰四大产品系列，“太湖雪”也成为市场上具备一定行业知名度的丝绸代表品牌。公司聚焦“微笑曲线”两端为核心的高附加值发展业务链（研发设计及品牌运营），建设了线上与线下、境内与境外双轮并举立体式销售模式。线下渠道主要通过直营专卖店、企业客户集采等销售渠道，线上渠道主要通过天猫、京东、唯品会、抖音、亚马逊、海外官网等电子商务平台宣传推广并销售。</w:t>
      </w:r>
    </w:p>
    <w:p>
      <w:pPr>
        <w:widowControl w:val="0"/>
        <w:kinsoku/>
        <w:autoSpaceDE/>
        <w:autoSpaceDN/>
        <w:adjustRightInd/>
        <w:snapToGrid/>
        <w:spacing w:line="540" w:lineRule="exact"/>
        <w:ind w:firstLine="640" w:firstLineChars="200"/>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公司秉承技术创新，专注于蚕丝被工艺与技术的创新。截至2023年6月30日，公司累计发明专利7件，实用新型专利86件，著作版权2219件，申请已受理发明专利5件，实用新型专利5件。同时公司积极参与起草国家标准5项、行业标准3项、团体标准2项。公司参与制定的十项标准均已颁布实施，助力行业健康良性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 w:eastAsia="仿宋_GB2312" w:cs="Times New Roman"/>
          <w:snapToGrid/>
          <w:kern w:val="2"/>
          <w:sz w:val="32"/>
          <w:szCs w:val="32"/>
          <w:lang w:val="en-US" w:eastAsia="zh-CN"/>
        </w:rPr>
      </w:pPr>
      <w:r>
        <w:rPr>
          <w:rFonts w:hint="default" w:ascii="仿宋_GB2312" w:hAnsi="仿宋" w:eastAsia="仿宋_GB2312" w:cs="Times New Roman"/>
          <w:snapToGrid/>
          <w:kern w:val="2"/>
          <w:sz w:val="32"/>
          <w:szCs w:val="32"/>
          <w:lang w:val="en-US" w:eastAsia="zh-CN"/>
        </w:rPr>
        <w:t>公司荣获高新技术企业、国家级服务型制造示范企业、全国科技型中小企业、国家版权示范单位、江苏省专精特新中小企业、江苏民营文化企业30强、江苏省农业产业化龙头企业、江苏省重点文化科技企业、江苏省电子商务示范企业、江苏省产教融合型试点培育企业、苏州首届文化产业领军型文化企业十强、苏州市纺织丝绸科学技术进步奖等荣誉称号；产品荣获江苏精品、中国绿色产品、高档丝绸标志等认证；太湖雪品牌荣获中国十大丝绸品牌、全国茧丝绸创新品牌、苏州市知名商标等荣誉称号。公司董事长胡毓芳女士荣获全国劳动模范、全国三八红旗手、纺织工业部劳动模范、教育部科技进步二等奖、中国女企业家协会“杰出创业女性”、苏州市优秀民营企业家等荣誉称号。</w:t>
      </w:r>
    </w:p>
    <w:p>
      <w:pPr>
        <w:keepNext w:val="0"/>
        <w:keepLines w:val="0"/>
        <w:pageBreakBefore w:val="0"/>
        <w:widowControl/>
        <w:shd w:val="clear" w:color="auto" w:fill="FFFFFF"/>
        <w:kinsoku w:val="0"/>
        <w:wordWrap/>
        <w:overflowPunct/>
        <w:topLinePunct w:val="0"/>
        <w:autoSpaceDE w:val="0"/>
        <w:autoSpaceDN w:val="0"/>
        <w:bidi w:val="0"/>
        <w:adjustRightInd w:val="0"/>
        <w:snapToGrid w:val="0"/>
        <w:spacing w:line="540" w:lineRule="exact"/>
        <w:ind w:firstLine="643" w:firstLineChars="200"/>
        <w:jc w:val="left"/>
        <w:textAlignment w:val="baseline"/>
        <w:rPr>
          <w:rFonts w:hint="default" w:ascii="仿宋_GB2312" w:hAnsi="仿宋" w:eastAsia="仿宋_GB2312" w:cs="Times New Roman"/>
          <w:snapToGrid/>
          <w:kern w:val="2"/>
          <w:sz w:val="32"/>
          <w:szCs w:val="32"/>
          <w:lang w:val="en-US" w:eastAsia="zh-CN"/>
        </w:rPr>
      </w:pPr>
      <w:r>
        <w:rPr>
          <w:rFonts w:hint="eastAsia" w:ascii="仿宋_GB2312" w:hAnsi="仿宋" w:eastAsia="仿宋_GB2312" w:cs="Times New Roman"/>
          <w:b/>
          <w:bCs/>
          <w:snapToGrid/>
          <w:kern w:val="2"/>
          <w:sz w:val="32"/>
          <w:szCs w:val="32"/>
          <w:lang w:val="en-US" w:eastAsia="zh-CN"/>
        </w:rPr>
        <w:t>4.辉瑞无锡制药有限公司</w:t>
      </w:r>
      <w:r>
        <w:rPr>
          <w:rFonts w:hint="default" w:ascii="仿宋_GB2312" w:hAnsi="等线" w:eastAsia="仿宋_GB2312" w:cs="宋体"/>
          <w:snapToGrid/>
          <w:color w:val="000000"/>
          <w:kern w:val="2"/>
          <w:sz w:val="32"/>
          <w:szCs w:val="32"/>
          <w:lang w:val="en-US" w:eastAsia="zh-CN"/>
        </w:rPr>
        <w:t>是辉瑞公司位于无锡市马山的生产基地，也是辉瑞全球生产集团(PGM)在中国区域的抗肿瘤产品供应组织。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lang w:val="en-US" w:eastAsia="zh-CN"/>
        </w:rPr>
      </w:pPr>
      <w:r>
        <w:rPr>
          <w:rFonts w:hint="default" w:ascii="仿宋_GB2312" w:hAnsi="仿宋" w:eastAsia="仿宋_GB2312" w:cs="Times New Roman"/>
          <w:snapToGrid/>
          <w:kern w:val="2"/>
          <w:sz w:val="32"/>
          <w:szCs w:val="32"/>
          <w:lang w:val="en-US" w:eastAsia="zh-CN"/>
        </w:rPr>
        <w:t>无锡工厂于1995年9月成立，投资总额为2,100万美元，于1998年6月获得GMP认证证书。工厂引进先进的模块厂房设计理念，所有模块建筑均于瑞典测试完成并拆卸，后于无锡重新组装。无锡工厂占地面积达4,800平方米，拥有世界上最先进的生产设备和检测技术。其年生产能力今后还有较大提升潜力。现主要生产包括盐酸表柔比星，盐酸多柔比星等抗肿瘤药的冻干制剂及液体制剂。目前产品主要供应中国市场。无锡工厂共有四个职能部门:厂长办公室、生产部、质量部和工程部。</w:t>
      </w:r>
    </w:p>
    <w:p>
      <w:pPr>
        <w:rPr>
          <w:rFonts w:hint="eastAsia"/>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jc w:val="center"/>
        <w:textAlignment w:val="auto"/>
        <w:rPr>
          <w:rFonts w:hint="eastAsia" w:ascii="方正小标宋简体" w:hAnsi="Times New Roman" w:eastAsia="方正小标宋简体" w:cs="Times New Roman"/>
          <w:snapToGrid/>
          <w:kern w:val="2"/>
          <w:sz w:val="44"/>
          <w:szCs w:val="44"/>
          <w:lang w:val="en-US" w:eastAsia="zh-CN"/>
        </w:rPr>
      </w:pPr>
      <w:r>
        <w:rPr>
          <w:rFonts w:hint="eastAsia" w:ascii="方正小标宋简体" w:hAnsi="Times New Roman" w:eastAsia="方正小标宋简体" w:cs="Times New Roman"/>
          <w:snapToGrid/>
          <w:kern w:val="2"/>
          <w:sz w:val="44"/>
          <w:szCs w:val="44"/>
          <w:lang w:val="en-US" w:eastAsia="zh-CN"/>
        </w:rPr>
        <w:t>师资介绍</w:t>
      </w:r>
    </w:p>
    <w:p>
      <w:pPr>
        <w:pStyle w:val="6"/>
        <w:rPr>
          <w:rFonts w:hint="default"/>
          <w:lang w:val="en-US" w:eastAsia="zh-CN"/>
        </w:rPr>
      </w:pP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kern w:val="2"/>
          <w:sz w:val="32"/>
          <w:szCs w:val="32"/>
          <w:lang w:val="en-US" w:eastAsia="zh-CN"/>
        </w:rPr>
      </w:pPr>
      <w:r>
        <w:rPr>
          <w:rFonts w:hint="eastAsia" w:ascii="Times New Roman" w:hAnsi="Times New Roman" w:eastAsia="仿宋_GB2312" w:cs="Times New Roman"/>
          <w:b/>
          <w:bCs/>
          <w:snapToGrid/>
          <w:kern w:val="2"/>
          <w:sz w:val="32"/>
          <w:szCs w:val="32"/>
          <w:lang w:val="en-US" w:eastAsia="zh-CN"/>
        </w:rPr>
        <w:t>孙晨光</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江南大学马克思主义学院副教授，教研部主任。香港城市大学国际政治学博士，巴黎政治学院、瑞典隆德大学访问学者。主要从事中欧关系、大国外交等方面研究，入选江苏省双创人才、无锡市太湖人才计划，市委讲师团成员，第三届江苏省高校教学展示一等奖，全国大学生三创赛江苏赛区优秀指导教师。无锡新闻广播“新闻非常道”节目特约评论员。</w:t>
      </w:r>
    </w:p>
    <w:p>
      <w:pPr>
        <w:keepNext w:val="0"/>
        <w:keepLines w:val="0"/>
        <w:pageBreakBefore w:val="0"/>
        <w:widowControl w:val="0"/>
        <w:tabs>
          <w:tab w:val="left" w:pos="7480"/>
          <w:tab w:val="left" w:pos="7650"/>
          <w:tab w:val="left" w:pos="7938"/>
          <w:tab w:val="left" w:pos="8080"/>
          <w:tab w:val="left" w:pos="8222"/>
          <w:tab w:val="left" w:pos="8500"/>
        </w:tabs>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Times New Roman" w:hAnsi="Times New Roman" w:eastAsia="仿宋_GB2312" w:cs="Times New Roman"/>
          <w:b/>
          <w:bCs/>
          <w:snapToGrid/>
          <w:kern w:val="2"/>
          <w:sz w:val="32"/>
          <w:szCs w:val="32"/>
          <w:lang w:val="en-US" w:eastAsia="zh-CN"/>
        </w:rPr>
      </w:pPr>
      <w:r>
        <w:rPr>
          <w:rFonts w:hint="eastAsia" w:ascii="Times New Roman" w:hAnsi="Times New Roman" w:eastAsia="仿宋_GB2312" w:cs="Times New Roman"/>
          <w:b/>
          <w:bCs/>
          <w:snapToGrid/>
          <w:kern w:val="2"/>
          <w:sz w:val="32"/>
          <w:szCs w:val="32"/>
          <w:lang w:val="en-US" w:eastAsia="zh-CN"/>
        </w:rPr>
        <w:t>姜启兴</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江南大学教授，硕士生导师。江苏现代农业（大宗鱼类）产业技术体系质量安全加与工创新团队岗位专家，江苏省第二批“苏北发展特聘专家”，江苏省“双创计划”科技副总，2019年入选南通市通州区“510人才计划”，2020年入选南通市“江海英才计划”。</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主要从事食品加工与保藏及综合利用方面的研究，主要研究方向为水产品加工、果蔬加工、肉制品加工，先后主持国家“863计划”、国家重点研发计划项目子课题3项、国家农业科技成果转化项目1项、国家博士后基金项目1项，江苏省重点研发计划、科技创新项目等省级项目5项，市级项目2项；参与国家自然科学基金项目、省级科技计划项目、农业科技成果转化项目等项目10多项；主持企业委托项目50多项。相关科研成果申请发明专利80多项，授权50多项，先后获教育部高等学校科技进步一等奖1项、部省级科技进步二等奖3项，科技进步三等奖1项，市级科技进步奖多项，发表科研论文100多篇，其中SCI/EI论文30多篇。</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3" w:firstLineChars="200"/>
        <w:jc w:val="left"/>
        <w:textAlignment w:val="auto"/>
        <w:rPr>
          <w:rFonts w:hint="default" w:ascii="Times New Roman" w:hAnsi="Times New Roman" w:eastAsia="仿宋_GB2312" w:cs="Times New Roman"/>
          <w:b/>
          <w:bCs/>
          <w:snapToGrid/>
          <w:kern w:val="2"/>
          <w:sz w:val="32"/>
          <w:szCs w:val="32"/>
          <w:lang w:val="en-US" w:eastAsia="zh-CN"/>
        </w:rPr>
      </w:pPr>
      <w:r>
        <w:rPr>
          <w:rFonts w:hint="eastAsia" w:ascii="Times New Roman" w:hAnsi="Times New Roman" w:eastAsia="仿宋_GB2312" w:cs="Times New Roman"/>
          <w:b/>
          <w:bCs/>
          <w:snapToGrid/>
          <w:kern w:val="2"/>
          <w:sz w:val="32"/>
          <w:szCs w:val="32"/>
          <w:lang w:val="en-US" w:eastAsia="zh-CN"/>
        </w:rPr>
        <w:t>滕乐法</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江南大学质量品牌研究院执行院长，教授、博士生导师，江苏高校哲学社会科学重点研究基地“品牌战略与管理创新研究基地”首席专家和江苏省“双创计划”人才（A类）。</w:t>
      </w:r>
      <w:r>
        <w:rPr>
          <w:rFonts w:hint="default" w:ascii="Times New Roman" w:hAnsi="Times New Roman" w:eastAsia="仿宋_GB2312" w:cs="Times New Roman"/>
          <w:snapToGrid/>
          <w:kern w:val="2"/>
          <w:sz w:val="32"/>
          <w:szCs w:val="32"/>
          <w:lang w:val="en-US" w:eastAsia="zh-CN"/>
        </w:rPr>
        <w:t>2003</w:t>
      </w:r>
      <w:r>
        <w:rPr>
          <w:rFonts w:hint="eastAsia" w:ascii="Times New Roman" w:hAnsi="Times New Roman" w:eastAsia="仿宋_GB2312" w:cs="Times New Roman"/>
          <w:snapToGrid/>
          <w:kern w:val="2"/>
          <w:sz w:val="32"/>
          <w:szCs w:val="32"/>
          <w:lang w:val="en-US" w:eastAsia="zh-CN"/>
        </w:rPr>
        <w:t>年获加拿大康考迪亚大学（</w:t>
      </w:r>
      <w:r>
        <w:rPr>
          <w:rFonts w:hint="default" w:ascii="Times New Roman" w:hAnsi="Times New Roman" w:eastAsia="仿宋_GB2312" w:cs="Times New Roman"/>
          <w:snapToGrid/>
          <w:kern w:val="2"/>
          <w:sz w:val="32"/>
          <w:szCs w:val="32"/>
          <w:lang w:val="en-US" w:eastAsia="zh-CN"/>
        </w:rPr>
        <w:t>Concordia University</w:t>
      </w:r>
      <w:r>
        <w:rPr>
          <w:rFonts w:hint="eastAsia" w:ascii="Times New Roman" w:hAnsi="Times New Roman" w:eastAsia="仿宋_GB2312" w:cs="Times New Roman"/>
          <w:snapToGrid/>
          <w:kern w:val="2"/>
          <w:sz w:val="32"/>
          <w:szCs w:val="32"/>
          <w:lang w:val="en-US" w:eastAsia="zh-CN"/>
        </w:rPr>
        <w:t>）市场营销学博士学位，历任加拿大圭尔夫大学（</w:t>
      </w:r>
      <w:r>
        <w:rPr>
          <w:rFonts w:hint="default" w:ascii="Times New Roman" w:hAnsi="Times New Roman" w:eastAsia="仿宋_GB2312" w:cs="Times New Roman"/>
          <w:snapToGrid/>
          <w:kern w:val="2"/>
          <w:sz w:val="32"/>
          <w:szCs w:val="32"/>
          <w:lang w:val="en-US" w:eastAsia="zh-CN"/>
        </w:rPr>
        <w:t>University of Guelph</w:t>
      </w:r>
      <w:r>
        <w:rPr>
          <w:rFonts w:hint="eastAsia" w:ascii="Times New Roman" w:hAnsi="Times New Roman" w:eastAsia="仿宋_GB2312" w:cs="Times New Roman"/>
          <w:snapToGrid/>
          <w:kern w:val="2"/>
          <w:sz w:val="32"/>
          <w:szCs w:val="32"/>
          <w:lang w:val="en-US" w:eastAsia="zh-CN"/>
        </w:rPr>
        <w:t>）助理教授、终身副教授、终身正教授。</w:t>
      </w:r>
      <w:r>
        <w:rPr>
          <w:rFonts w:hint="default" w:ascii="Times New Roman" w:hAnsi="Times New Roman" w:eastAsia="仿宋_GB2312" w:cs="Times New Roman"/>
          <w:snapToGrid/>
          <w:kern w:val="2"/>
          <w:sz w:val="32"/>
          <w:szCs w:val="32"/>
          <w:lang w:val="en-US" w:eastAsia="zh-CN"/>
        </w:rPr>
        <w:t>2009</w:t>
      </w:r>
      <w:r>
        <w:rPr>
          <w:rFonts w:hint="eastAsia" w:ascii="Times New Roman" w:hAnsi="Times New Roman" w:eastAsia="仿宋_GB2312" w:cs="Times New Roman"/>
          <w:snapToGrid/>
          <w:kern w:val="2"/>
          <w:sz w:val="32"/>
          <w:szCs w:val="32"/>
          <w:lang w:val="en-US" w:eastAsia="zh-CN"/>
        </w:rPr>
        <w:t>年至</w:t>
      </w:r>
      <w:r>
        <w:rPr>
          <w:rFonts w:hint="default" w:ascii="Times New Roman" w:hAnsi="Times New Roman" w:eastAsia="仿宋_GB2312" w:cs="Times New Roman"/>
          <w:snapToGrid/>
          <w:kern w:val="2"/>
          <w:sz w:val="32"/>
          <w:szCs w:val="32"/>
          <w:lang w:val="en-US" w:eastAsia="zh-CN"/>
        </w:rPr>
        <w:t>2013</w:t>
      </w:r>
      <w:r>
        <w:rPr>
          <w:rFonts w:hint="eastAsia" w:ascii="Times New Roman" w:hAnsi="Times New Roman" w:eastAsia="仿宋_GB2312" w:cs="Times New Roman"/>
          <w:snapToGrid/>
          <w:kern w:val="2"/>
          <w:sz w:val="32"/>
          <w:szCs w:val="32"/>
          <w:lang w:val="en-US" w:eastAsia="zh-CN"/>
        </w:rPr>
        <w:t>年期间，任上海交通大学安泰经济与管理学院市场营销系系主任。</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目前承担国家自然科学基金重点项目“经济转型与国际化背景下品牌建设的理论创新研究”（</w:t>
      </w:r>
      <w:r>
        <w:rPr>
          <w:rFonts w:hint="default" w:ascii="Times New Roman" w:hAnsi="Times New Roman" w:eastAsia="仿宋_GB2312" w:cs="Times New Roman"/>
          <w:snapToGrid/>
          <w:kern w:val="2"/>
          <w:sz w:val="32"/>
          <w:szCs w:val="32"/>
          <w:lang w:val="en-US" w:eastAsia="zh-CN"/>
        </w:rPr>
        <w:t>71832005</w:t>
      </w:r>
      <w:r>
        <w:rPr>
          <w:rFonts w:hint="eastAsia"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val="en-US" w:eastAsia="zh-CN"/>
        </w:rPr>
        <w:t>2019-2023</w:t>
      </w:r>
      <w:r>
        <w:rPr>
          <w:rFonts w:hint="eastAsia" w:ascii="Times New Roman" w:hAnsi="Times New Roman" w:eastAsia="仿宋_GB2312" w:cs="Times New Roman"/>
          <w:snapToGrid/>
          <w:kern w:val="2"/>
          <w:sz w:val="32"/>
          <w:szCs w:val="32"/>
          <w:lang w:val="en-US" w:eastAsia="zh-CN"/>
        </w:rPr>
        <w:t>），持续在国内外顶尖</w:t>
      </w:r>
      <w:r>
        <w:rPr>
          <w:rFonts w:hint="default" w:ascii="Times New Roman" w:hAnsi="Times New Roman" w:eastAsia="仿宋_GB2312" w:cs="Times New Roman"/>
          <w:snapToGrid/>
          <w:kern w:val="2"/>
          <w:sz w:val="32"/>
          <w:szCs w:val="32"/>
          <w:lang w:val="en-US" w:eastAsia="zh-CN"/>
        </w:rPr>
        <w:t>/</w:t>
      </w:r>
      <w:r>
        <w:rPr>
          <w:rFonts w:hint="eastAsia" w:ascii="Times New Roman" w:hAnsi="Times New Roman" w:eastAsia="仿宋_GB2312" w:cs="Times New Roman"/>
          <w:snapToGrid/>
          <w:kern w:val="2"/>
          <w:sz w:val="32"/>
          <w:szCs w:val="32"/>
          <w:lang w:val="en-US" w:eastAsia="zh-CN"/>
        </w:rPr>
        <w:t>著名学术期刊（如《管理世界》、</w:t>
      </w:r>
      <w:r>
        <w:rPr>
          <w:rFonts w:hint="default" w:ascii="Times New Roman" w:hAnsi="Times New Roman" w:eastAsia="仿宋_GB2312" w:cs="Times New Roman"/>
          <w:snapToGrid/>
          <w:kern w:val="2"/>
          <w:sz w:val="32"/>
          <w:szCs w:val="32"/>
          <w:lang w:val="en-US" w:eastAsia="zh-CN"/>
        </w:rPr>
        <w:t>Journal of International Business Studies, Journal of Business Ethics, Journal of Business Research, Journal of International Marketing, Journal of Advertising Research</w:t>
      </w:r>
      <w:r>
        <w:rPr>
          <w:rFonts w:hint="eastAsia" w:ascii="Times New Roman" w:hAnsi="Times New Roman" w:eastAsia="仿宋_GB2312" w:cs="Times New Roman"/>
          <w:snapToGrid/>
          <w:kern w:val="2"/>
          <w:sz w:val="32"/>
          <w:szCs w:val="32"/>
          <w:lang w:val="en-US" w:eastAsia="zh-CN"/>
        </w:rPr>
        <w:t>等）发表论文（一作或通讯作者）。曾担任</w:t>
      </w:r>
      <w:r>
        <w:rPr>
          <w:rFonts w:hint="default" w:ascii="Times New Roman" w:hAnsi="Times New Roman" w:eastAsia="仿宋_GB2312" w:cs="Times New Roman"/>
          <w:snapToGrid/>
          <w:kern w:val="2"/>
          <w:sz w:val="32"/>
          <w:szCs w:val="32"/>
          <w:lang w:val="en-US" w:eastAsia="zh-CN"/>
        </w:rPr>
        <w:t>International Journal of Advertising</w:t>
      </w:r>
      <w:r>
        <w:rPr>
          <w:rFonts w:hint="eastAsia" w:ascii="Times New Roman" w:hAnsi="Times New Roman" w:eastAsia="仿宋_GB2312" w:cs="Times New Roman"/>
          <w:snapToGrid/>
          <w:kern w:val="2"/>
          <w:sz w:val="32"/>
          <w:szCs w:val="32"/>
          <w:lang w:val="en-US" w:eastAsia="zh-CN"/>
        </w:rPr>
        <w:t>（</w:t>
      </w:r>
      <w:r>
        <w:rPr>
          <w:rFonts w:hint="default" w:ascii="Times New Roman" w:hAnsi="Times New Roman" w:eastAsia="仿宋_GB2312" w:cs="Times New Roman"/>
          <w:snapToGrid/>
          <w:kern w:val="2"/>
          <w:sz w:val="32"/>
          <w:szCs w:val="32"/>
          <w:lang w:val="en-US" w:eastAsia="zh-CN"/>
        </w:rPr>
        <w:t>1</w:t>
      </w:r>
      <w:r>
        <w:rPr>
          <w:rFonts w:hint="eastAsia" w:ascii="Times New Roman" w:hAnsi="Times New Roman" w:eastAsia="仿宋_GB2312" w:cs="Times New Roman"/>
          <w:snapToGrid/>
          <w:kern w:val="2"/>
          <w:sz w:val="32"/>
          <w:szCs w:val="32"/>
          <w:lang w:val="en-US" w:eastAsia="zh-CN"/>
        </w:rPr>
        <w:t>次）和</w:t>
      </w:r>
      <w:r>
        <w:rPr>
          <w:rFonts w:hint="default" w:ascii="Times New Roman" w:hAnsi="Times New Roman" w:eastAsia="仿宋_GB2312" w:cs="Times New Roman"/>
          <w:snapToGrid/>
          <w:kern w:val="2"/>
          <w:sz w:val="32"/>
          <w:szCs w:val="32"/>
          <w:lang w:val="en-US" w:eastAsia="zh-CN"/>
        </w:rPr>
        <w:t>Journal of Business Research</w:t>
      </w:r>
      <w:r>
        <w:rPr>
          <w:rFonts w:hint="eastAsia" w:ascii="Times New Roman" w:hAnsi="Times New Roman" w:eastAsia="仿宋_GB2312" w:cs="Times New Roman"/>
          <w:snapToGrid/>
          <w:kern w:val="2"/>
          <w:sz w:val="32"/>
          <w:szCs w:val="32"/>
          <w:lang w:val="en-US" w:eastAsia="zh-CN"/>
        </w:rPr>
        <w:t>（三次）特邀联合主编，并三次担任国际营销、广告与品牌大会的执行主席。</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3" w:firstLineChars="200"/>
        <w:jc w:val="left"/>
        <w:textAlignment w:val="auto"/>
        <w:rPr>
          <w:rFonts w:hint="eastAsia" w:ascii="Times New Roman" w:hAnsi="Times New Roman" w:eastAsia="仿宋_GB2312" w:cs="Times New Roman"/>
          <w:b/>
          <w:bCs/>
          <w:snapToGrid/>
          <w:kern w:val="2"/>
          <w:sz w:val="32"/>
          <w:szCs w:val="32"/>
          <w:lang w:val="en-US" w:eastAsia="zh-CN"/>
        </w:rPr>
      </w:pPr>
      <w:r>
        <w:rPr>
          <w:rFonts w:hint="eastAsia" w:ascii="Times New Roman" w:hAnsi="Times New Roman" w:eastAsia="仿宋_GB2312" w:cs="Times New Roman"/>
          <w:b/>
          <w:bCs/>
          <w:snapToGrid/>
          <w:kern w:val="2"/>
          <w:sz w:val="32"/>
          <w:szCs w:val="32"/>
          <w:lang w:val="en-US" w:eastAsia="zh-CN"/>
        </w:rPr>
        <w:t>杨百寅</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eastAsia"/>
          <w:lang w:val="en-US" w:eastAsia="zh-CN"/>
        </w:rPr>
      </w:pPr>
      <w:r>
        <w:rPr>
          <w:rFonts w:hint="eastAsia" w:ascii="Times New Roman" w:hAnsi="Times New Roman" w:eastAsia="仿宋_GB2312" w:cs="Times New Roman"/>
          <w:snapToGrid/>
          <w:kern w:val="2"/>
          <w:sz w:val="32"/>
          <w:szCs w:val="32"/>
          <w:lang w:val="en-US" w:eastAsia="zh-CN"/>
        </w:rPr>
        <w:t>江南大学商学院特聘教授、江南企业家研究中心主任，（美国）佐治亚大学博士，博士生导师，曾任清华大学经济管理学院讲席教授、领导力与组织管理系主任。杨百寅教授是国家级特聘专家，国家杰出青年科学基金、复旦管理学杰出贡献奖获得者。杨百寅教授主持承担国家自然科学基金杰出青年基金项目和重点项目各1项、面上项目2项、参与重大基金项目和创新群体项目各1项，发表中英文学术期刊论文各60余篇，出版中英文学术专著5部。他的主要研究方向为：知识整体理论、中国管理思想、领导力开发、创造力与组织创新、学习型组织以及中西文化与管理理念的比较等。他曾荣获国际人力资源开发学会的“杰出学者奖”，他的关于知识整体理论的论文获得（国际）〖人力资源开发评论〗的最佳论文奖，他的关于中国式领导和高管团队有效性的论文获国际管理学会的奖励，另外他有多篇学术论文获得国际研讨会的最佳论文奖。他曾任SSCI刊源英文学术杂志〖人力资源开发季刊〗主编。长期为企事业单位提供管理与领导力方面咨询和培训，主持完成咨询项目10余项。</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3" w:firstLineChars="200"/>
        <w:jc w:val="left"/>
        <w:textAlignment w:val="auto"/>
        <w:rPr>
          <w:rFonts w:hint="eastAsia" w:ascii="Times New Roman" w:hAnsi="Times New Roman" w:eastAsia="仿宋_GB2312" w:cs="Times New Roman"/>
          <w:b/>
          <w:bCs/>
          <w:snapToGrid/>
          <w:kern w:val="2"/>
          <w:sz w:val="32"/>
          <w:szCs w:val="32"/>
          <w:lang w:val="en-US" w:eastAsia="zh-CN"/>
        </w:rPr>
      </w:pPr>
      <w:r>
        <w:rPr>
          <w:rFonts w:hint="eastAsia" w:ascii="Times New Roman" w:hAnsi="Times New Roman" w:eastAsia="仿宋_GB2312" w:cs="Times New Roman"/>
          <w:b/>
          <w:bCs/>
          <w:snapToGrid/>
          <w:kern w:val="2"/>
          <w:sz w:val="32"/>
          <w:szCs w:val="32"/>
          <w:lang w:val="en-US" w:eastAsia="zh-CN"/>
        </w:rPr>
        <w:t>朱晋伟</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江南大学教授,博士生导师，复旦大学硕士，（日）一桥大学博士。主要研究领域是人力资源管理、战略管理、创新与创业管理、跨国经营管理。</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无锡人力资源开发研究基地主任、江苏省人力资源学会副会长、中国管理现代化研究会管理思想与商业伦理专业委员会理事、江苏省侨联特聘专家。</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3" w:firstLineChars="200"/>
        <w:jc w:val="left"/>
        <w:textAlignment w:val="auto"/>
        <w:rPr>
          <w:rFonts w:hint="eastAsia" w:ascii="Times New Roman" w:hAnsi="Times New Roman" w:eastAsia="仿宋_GB2312" w:cs="Times New Roman"/>
          <w:b/>
          <w:bCs/>
          <w:snapToGrid/>
          <w:kern w:val="2"/>
          <w:sz w:val="32"/>
          <w:szCs w:val="32"/>
          <w:lang w:val="en-US" w:eastAsia="zh-CN"/>
        </w:rPr>
      </w:pPr>
      <w:r>
        <w:rPr>
          <w:rFonts w:hint="eastAsia" w:ascii="Times New Roman" w:hAnsi="Times New Roman" w:eastAsia="仿宋_GB2312" w:cs="Times New Roman"/>
          <w:b/>
          <w:bCs/>
          <w:snapToGrid/>
          <w:kern w:val="2"/>
          <w:sz w:val="32"/>
          <w:szCs w:val="32"/>
          <w:lang w:val="en-US" w:eastAsia="zh-CN"/>
        </w:rPr>
        <w:t>李 峰</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江南大学商学院质量品牌研究院副院长，副教授，硕导；长三角质量品牌产学研技术联盟副秘书长。</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在国内管理学期刊《管理世界》(国内管理学顶级期刊)、《管理评论》、《管理学报》、《系统管理学报》，国外营销领域知名期刊《Journal of Business research》、《Technology in Society》等期刊发表学术论文。参与国家自然科学基金、省部级基金多项。</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eastAsia"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社会兼职：长三角质量品牌产学研技术联盟副秘书长；无锡市商标协会理事；法尔胜泓昇集团有限公司战略委员会独立董事。</w:t>
      </w:r>
    </w:p>
    <w:p>
      <w:pPr>
        <w:widowControl w:val="0"/>
        <w:tabs>
          <w:tab w:val="left" w:pos="7480"/>
          <w:tab w:val="left" w:pos="7650"/>
          <w:tab w:val="left" w:pos="7938"/>
          <w:tab w:val="left" w:pos="8080"/>
          <w:tab w:val="left" w:pos="8222"/>
          <w:tab w:val="left" w:pos="8500"/>
        </w:tabs>
        <w:kinsoku/>
        <w:overflowPunct w:val="0"/>
        <w:autoSpaceDE/>
        <w:autoSpaceDN/>
        <w:adjustRightInd w:val="0"/>
        <w:snapToGrid w:val="0"/>
        <w:spacing w:line="56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rPr>
        <w:t>研究领域及方向：战略管理、品牌管理、公司金融。</w:t>
      </w:r>
    </w:p>
    <w:p>
      <w:pPr>
        <w:pStyle w:val="2"/>
        <w:rPr>
          <w:rFonts w:hint="eastAsia"/>
          <w:lang w:eastAsia="zh-CN"/>
        </w:rPr>
      </w:pPr>
    </w:p>
    <w:sectPr>
      <w:footerReference r:id="rId3" w:type="default"/>
      <w:pgSz w:w="11906" w:h="16839"/>
      <w:pgMar w:top="1431" w:right="1474" w:bottom="1343" w:left="1575" w:header="0" w:footer="106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hjNjg5NzRiOWY1MjQzMjU3MjdjYjllZThjZTFlODIifQ=="/>
  </w:docVars>
  <w:rsids>
    <w:rsidRoot w:val="00931FD1"/>
    <w:rsid w:val="001826CE"/>
    <w:rsid w:val="00931FD1"/>
    <w:rsid w:val="00A20091"/>
    <w:rsid w:val="04A01318"/>
    <w:rsid w:val="0C5965C6"/>
    <w:rsid w:val="0F8E1913"/>
    <w:rsid w:val="15730477"/>
    <w:rsid w:val="163917C2"/>
    <w:rsid w:val="22D8603F"/>
    <w:rsid w:val="268963F7"/>
    <w:rsid w:val="27965656"/>
    <w:rsid w:val="30FB2958"/>
    <w:rsid w:val="3E9D3FFB"/>
    <w:rsid w:val="44723C96"/>
    <w:rsid w:val="48DC7970"/>
    <w:rsid w:val="5406621A"/>
    <w:rsid w:val="5C533A65"/>
    <w:rsid w:val="5CFCB607"/>
    <w:rsid w:val="611D3A69"/>
    <w:rsid w:val="6C3B482E"/>
    <w:rsid w:val="6FEF8F1C"/>
    <w:rsid w:val="73BB4D44"/>
    <w:rsid w:val="73F26870"/>
    <w:rsid w:val="7791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ascii="Cambria" w:hAnsi="Cambria" w:cs="Times New Roman"/>
      <w:b/>
      <w:bCs/>
      <w:sz w:val="32"/>
      <w:szCs w:val="32"/>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Unicode MS" w:hAnsi="Arial Unicode MS" w:eastAsia="Arial Unicode MS" w:cs="Arial Unicode M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129</Words>
  <Characters>738</Characters>
  <Lines>6</Lines>
  <Paragraphs>1</Paragraphs>
  <TotalTime>2</TotalTime>
  <ScaleCrop>false</ScaleCrop>
  <LinksUpToDate>false</LinksUpToDate>
  <CharactersWithSpaces>866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2023-11-01T07:06:00Z</dcterms:created>
  <dc:creator>PC</dc:creator>
  <cp:lastModifiedBy>DiYun</cp:lastModifiedBy>
  <cp:lastPrinted>2023-11-10T11:55:00Z</cp:lastPrinted>
  <dcterms:modified xsi:type="dcterms:W3CDTF">2023-11-13T08:21:43Z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2023-11-06T10:42:05Z</vt:filetime>
  </property>
  <property fmtid="{D5CDD505-2E9C-101B-9397-08002B2CF9AE}" pid="4" name="KSOProductBuildVer">
    <vt:lpwstr>2052-12.1.0.15712</vt:lpwstr>
  </property>
  <property fmtid="{D5CDD505-2E9C-101B-9397-08002B2CF9AE}" pid="5" name="ICV">
    <vt:lpwstr>DDECF8A68C234298AAE156AA459496CA_13</vt:lpwstr>
  </property>
</Properties>
</file>