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rPr>
          <w:b/>
        </w:rPr>
      </w:pPr>
    </w:p>
    <w:p>
      <w:pPr>
        <w:pStyle w:val="9"/>
        <w:jc w:val="center"/>
        <w:rPr>
          <w:rFonts w:hint="eastAsia" w:ascii="微软雅黑" w:hAnsi="微软雅黑" w:eastAsia="微软雅黑"/>
          <w:b/>
          <w:sz w:val="52"/>
        </w:rPr>
      </w:pPr>
      <w:r>
        <w:rPr>
          <w:rFonts w:hint="eastAsia" w:ascii="微软雅黑" w:hAnsi="微软雅黑" w:eastAsia="微软雅黑"/>
          <w:b/>
          <w:sz w:val="52"/>
        </w:rPr>
        <w:t>两化融合评估服务系统</w:t>
      </w:r>
    </w:p>
    <w:p>
      <w:pPr>
        <w:pStyle w:val="9"/>
        <w:jc w:val="center"/>
        <w:rPr>
          <w:rFonts w:ascii="微软雅黑" w:hAnsi="微软雅黑" w:eastAsia="微软雅黑"/>
          <w:b/>
          <w:sz w:val="52"/>
        </w:rPr>
      </w:pPr>
      <w:bookmarkStart w:id="7" w:name="_GoBack"/>
      <w:bookmarkEnd w:id="7"/>
      <w:r>
        <w:rPr>
          <w:rFonts w:hint="eastAsia" w:ascii="微软雅黑" w:hAnsi="微软雅黑" w:eastAsia="微软雅黑"/>
          <w:b/>
          <w:sz w:val="52"/>
        </w:rPr>
        <w:t>（企业）使用手册</w:t>
      </w:r>
    </w:p>
    <w:p>
      <w:pPr>
        <w:pStyle w:val="9"/>
        <w:jc w:val="center"/>
        <w:rPr>
          <w:rFonts w:ascii="微软雅黑" w:hAnsi="微软雅黑" w:eastAsia="微软雅黑"/>
          <w:b/>
          <w:sz w:val="52"/>
        </w:rPr>
      </w:pPr>
    </w:p>
    <w:p>
      <w:pPr>
        <w:pStyle w:val="9"/>
        <w:jc w:val="center"/>
        <w:rPr>
          <w:rFonts w:ascii="微软雅黑" w:hAnsi="微软雅黑" w:eastAsia="微软雅黑"/>
          <w:b/>
          <w:sz w:val="52"/>
        </w:rPr>
      </w:pPr>
    </w:p>
    <w:p>
      <w:pPr>
        <w:pStyle w:val="9"/>
        <w:jc w:val="center"/>
        <w:rPr>
          <w:rFonts w:ascii="微软雅黑" w:hAnsi="微软雅黑" w:eastAsia="微软雅黑"/>
          <w:b/>
          <w:sz w:val="52"/>
        </w:rPr>
      </w:pPr>
    </w:p>
    <w:p>
      <w:pPr>
        <w:pStyle w:val="9"/>
        <w:jc w:val="center"/>
        <w:rPr>
          <w:rFonts w:ascii="微软雅黑" w:hAnsi="微软雅黑" w:eastAsia="微软雅黑"/>
          <w:b/>
          <w:sz w:val="52"/>
        </w:rPr>
      </w:pPr>
    </w:p>
    <w:p>
      <w:pPr>
        <w:pStyle w:val="9"/>
        <w:jc w:val="center"/>
        <w:rPr>
          <w:rFonts w:ascii="微软雅黑" w:hAnsi="微软雅黑" w:eastAsia="微软雅黑"/>
          <w:b/>
          <w:sz w:val="52"/>
        </w:rPr>
      </w:pPr>
    </w:p>
    <w:p>
      <w:pPr>
        <w:pStyle w:val="9"/>
        <w:jc w:val="center"/>
        <w:rPr>
          <w:rFonts w:ascii="微软雅黑" w:hAnsi="微软雅黑" w:eastAsia="微软雅黑"/>
          <w:b/>
          <w:sz w:val="52"/>
        </w:rPr>
      </w:pPr>
    </w:p>
    <w:p>
      <w:pPr>
        <w:pStyle w:val="9"/>
        <w:jc w:val="center"/>
        <w:rPr>
          <w:rFonts w:ascii="微软雅黑" w:hAnsi="微软雅黑" w:eastAsia="微软雅黑"/>
          <w:b/>
          <w:sz w:val="36"/>
        </w:rPr>
      </w:pPr>
      <w:r>
        <w:rPr>
          <w:rFonts w:hint="eastAsia" w:ascii="微软雅黑" w:hAnsi="微软雅黑" w:eastAsia="微软雅黑"/>
          <w:b/>
          <w:sz w:val="36"/>
        </w:rPr>
        <w:t>深圳市冠智达实业有限公司</w:t>
      </w:r>
    </w:p>
    <w:p>
      <w:pPr>
        <w:pStyle w:val="9"/>
        <w:jc w:val="center"/>
        <w:rPr>
          <w:rFonts w:ascii="微软雅黑" w:hAnsi="微软雅黑" w:eastAsia="微软雅黑"/>
          <w:b/>
          <w:sz w:val="36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47267234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2"/>
            <w:jc w:val="center"/>
            <w:rPr>
              <w:color w:val="auto"/>
              <w:sz w:val="36"/>
            </w:rPr>
          </w:pPr>
          <w:r>
            <w:rPr>
              <w:color w:val="auto"/>
              <w:sz w:val="36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30"/>
              <w:szCs w:val="30"/>
            </w:rPr>
          </w:pP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TOC \o "1-3" \h \z \u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"_Toc47443486" </w:instrText>
          </w:r>
          <w:r>
            <w:fldChar w:fldCharType="separate"/>
          </w:r>
          <w:r>
            <w:rPr>
              <w:rStyle w:val="8"/>
              <w:rFonts w:ascii="仿宋" w:hAnsi="仿宋" w:eastAsia="仿宋"/>
              <w:sz w:val="30"/>
              <w:szCs w:val="30"/>
            </w:rPr>
            <w:t>1.</w:t>
          </w:r>
          <w:r>
            <w:rPr>
              <w:rStyle w:val="8"/>
              <w:rFonts w:hint="eastAsia" w:ascii="仿宋" w:hAnsi="仿宋" w:eastAsia="仿宋"/>
              <w:sz w:val="30"/>
              <w:szCs w:val="30"/>
            </w:rPr>
            <w:t>总体流程</w:t>
          </w:r>
          <w:r>
            <w:rPr>
              <w:rFonts w:ascii="仿宋" w:hAnsi="仿宋" w:eastAsia="仿宋"/>
              <w:sz w:val="30"/>
              <w:szCs w:val="30"/>
            </w:rPr>
            <w:tab/>
          </w: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PAGEREF _Toc47443486 \h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rPr>
              <w:rFonts w:ascii="仿宋" w:hAnsi="仿宋" w:eastAsia="仿宋"/>
              <w:sz w:val="30"/>
              <w:szCs w:val="30"/>
            </w:rPr>
            <w:t>3</w:t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30"/>
              <w:szCs w:val="30"/>
            </w:rPr>
          </w:pPr>
          <w:r>
            <w:fldChar w:fldCharType="begin"/>
          </w:r>
          <w:r>
            <w:instrText xml:space="preserve"> HYPERLINK \l "_Toc47443487" </w:instrText>
          </w:r>
          <w:r>
            <w:fldChar w:fldCharType="separate"/>
          </w:r>
          <w:r>
            <w:rPr>
              <w:rStyle w:val="8"/>
              <w:rFonts w:ascii="仿宋" w:hAnsi="仿宋" w:eastAsia="仿宋"/>
              <w:sz w:val="30"/>
              <w:szCs w:val="30"/>
            </w:rPr>
            <w:t>2.</w:t>
          </w:r>
          <w:r>
            <w:rPr>
              <w:rStyle w:val="8"/>
              <w:rFonts w:hint="eastAsia" w:ascii="仿宋" w:hAnsi="仿宋" w:eastAsia="仿宋"/>
              <w:sz w:val="30"/>
              <w:szCs w:val="30"/>
            </w:rPr>
            <w:t>注册</w:t>
          </w:r>
          <w:r>
            <w:rPr>
              <w:rFonts w:ascii="仿宋" w:hAnsi="仿宋" w:eastAsia="仿宋"/>
              <w:sz w:val="30"/>
              <w:szCs w:val="30"/>
            </w:rPr>
            <w:tab/>
          </w: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PAGEREF _Toc47443487 \h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rPr>
              <w:rFonts w:ascii="仿宋" w:hAnsi="仿宋" w:eastAsia="仿宋"/>
              <w:sz w:val="30"/>
              <w:szCs w:val="30"/>
            </w:rPr>
            <w:t>3</w:t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30"/>
              <w:szCs w:val="30"/>
            </w:rPr>
          </w:pPr>
          <w:r>
            <w:fldChar w:fldCharType="begin"/>
          </w:r>
          <w:r>
            <w:instrText xml:space="preserve"> HYPERLINK \l "_Toc47443488" </w:instrText>
          </w:r>
          <w:r>
            <w:fldChar w:fldCharType="separate"/>
          </w:r>
          <w:r>
            <w:rPr>
              <w:rStyle w:val="8"/>
              <w:rFonts w:ascii="仿宋" w:hAnsi="仿宋" w:eastAsia="仿宋"/>
              <w:sz w:val="30"/>
              <w:szCs w:val="30"/>
            </w:rPr>
            <w:t>3.</w:t>
          </w:r>
          <w:r>
            <w:rPr>
              <w:rStyle w:val="8"/>
              <w:rFonts w:hint="eastAsia" w:ascii="仿宋" w:hAnsi="仿宋" w:eastAsia="仿宋" w:cs="仿宋_GB2312"/>
              <w:sz w:val="30"/>
              <w:szCs w:val="30"/>
            </w:rPr>
            <w:t>登录</w:t>
          </w:r>
          <w:r>
            <w:rPr>
              <w:rFonts w:ascii="仿宋" w:hAnsi="仿宋" w:eastAsia="仿宋"/>
              <w:sz w:val="30"/>
              <w:szCs w:val="30"/>
            </w:rPr>
            <w:tab/>
          </w: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PAGEREF _Toc47443488 \h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rPr>
              <w:rFonts w:ascii="仿宋" w:hAnsi="仿宋" w:eastAsia="仿宋"/>
              <w:sz w:val="30"/>
              <w:szCs w:val="30"/>
            </w:rPr>
            <w:t>5</w:t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30"/>
              <w:szCs w:val="30"/>
            </w:rPr>
          </w:pPr>
          <w:r>
            <w:fldChar w:fldCharType="begin"/>
          </w:r>
          <w:r>
            <w:instrText xml:space="preserve"> HYPERLINK \l "_Toc47443489" </w:instrText>
          </w:r>
          <w:r>
            <w:fldChar w:fldCharType="separate"/>
          </w:r>
          <w:r>
            <w:rPr>
              <w:rStyle w:val="8"/>
              <w:rFonts w:ascii="仿宋" w:hAnsi="仿宋" w:eastAsia="仿宋" w:cs="Times New Roman"/>
              <w:sz w:val="30"/>
              <w:szCs w:val="30"/>
            </w:rPr>
            <w:t>4.</w:t>
          </w:r>
          <w:r>
            <w:rPr>
              <w:rStyle w:val="8"/>
              <w:rFonts w:hint="eastAsia" w:ascii="仿宋" w:hAnsi="仿宋" w:eastAsia="仿宋"/>
              <w:sz w:val="30"/>
              <w:szCs w:val="30"/>
            </w:rPr>
            <w:t>企业基本信息</w:t>
          </w:r>
          <w:r>
            <w:rPr>
              <w:rFonts w:ascii="仿宋" w:hAnsi="仿宋" w:eastAsia="仿宋"/>
              <w:sz w:val="30"/>
              <w:szCs w:val="30"/>
            </w:rPr>
            <w:tab/>
          </w: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PAGEREF _Toc47443489 \h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rPr>
              <w:rFonts w:ascii="仿宋" w:hAnsi="仿宋" w:eastAsia="仿宋"/>
              <w:sz w:val="30"/>
              <w:szCs w:val="30"/>
            </w:rPr>
            <w:t>6</w:t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30"/>
              <w:szCs w:val="30"/>
            </w:rPr>
          </w:pPr>
          <w:r>
            <w:fldChar w:fldCharType="begin"/>
          </w:r>
          <w:r>
            <w:instrText xml:space="preserve"> HYPERLINK \l "_Toc47443490" </w:instrText>
          </w:r>
          <w:r>
            <w:fldChar w:fldCharType="separate"/>
          </w:r>
          <w:r>
            <w:rPr>
              <w:rStyle w:val="8"/>
              <w:rFonts w:ascii="仿宋" w:hAnsi="仿宋" w:eastAsia="仿宋" w:cs="Times New Roman"/>
              <w:sz w:val="30"/>
              <w:szCs w:val="30"/>
            </w:rPr>
            <w:t xml:space="preserve">4.1 </w:t>
          </w:r>
          <w:r>
            <w:rPr>
              <w:rStyle w:val="8"/>
              <w:rFonts w:hint="eastAsia" w:ascii="仿宋" w:hAnsi="仿宋" w:eastAsia="仿宋"/>
              <w:sz w:val="30"/>
              <w:szCs w:val="30"/>
            </w:rPr>
            <w:t>首次登入评估系统</w:t>
          </w:r>
          <w:r>
            <w:rPr>
              <w:rFonts w:ascii="仿宋" w:hAnsi="仿宋" w:eastAsia="仿宋"/>
              <w:sz w:val="30"/>
              <w:szCs w:val="30"/>
            </w:rPr>
            <w:tab/>
          </w: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PAGEREF _Toc47443490 \h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rPr>
              <w:rFonts w:ascii="仿宋" w:hAnsi="仿宋" w:eastAsia="仿宋"/>
              <w:sz w:val="30"/>
              <w:szCs w:val="30"/>
            </w:rPr>
            <w:t>6</w:t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30"/>
              <w:szCs w:val="30"/>
            </w:rPr>
          </w:pPr>
          <w:r>
            <w:fldChar w:fldCharType="begin"/>
          </w:r>
          <w:r>
            <w:instrText xml:space="preserve"> HYPERLINK \l "_Toc47443491" </w:instrText>
          </w:r>
          <w:r>
            <w:fldChar w:fldCharType="separate"/>
          </w:r>
          <w:r>
            <w:rPr>
              <w:rStyle w:val="8"/>
              <w:rFonts w:ascii="仿宋" w:hAnsi="仿宋" w:eastAsia="仿宋" w:cs="Times New Roman"/>
              <w:sz w:val="30"/>
              <w:szCs w:val="30"/>
            </w:rPr>
            <w:t xml:space="preserve">4.2 </w:t>
          </w:r>
          <w:r>
            <w:rPr>
              <w:rStyle w:val="8"/>
              <w:rFonts w:hint="eastAsia" w:ascii="仿宋" w:hAnsi="仿宋" w:eastAsia="仿宋"/>
              <w:sz w:val="30"/>
              <w:szCs w:val="30"/>
            </w:rPr>
            <w:t>填写问卷</w:t>
          </w:r>
          <w:r>
            <w:rPr>
              <w:rFonts w:ascii="仿宋" w:hAnsi="仿宋" w:eastAsia="仿宋"/>
              <w:sz w:val="30"/>
              <w:szCs w:val="30"/>
            </w:rPr>
            <w:tab/>
          </w: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PAGEREF _Toc47443491 \h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rPr>
              <w:rFonts w:ascii="仿宋" w:hAnsi="仿宋" w:eastAsia="仿宋"/>
              <w:sz w:val="30"/>
              <w:szCs w:val="30"/>
            </w:rPr>
            <w:t>7</w:t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30"/>
              <w:szCs w:val="30"/>
            </w:rPr>
          </w:pPr>
          <w:r>
            <w:fldChar w:fldCharType="begin"/>
          </w:r>
          <w:r>
            <w:instrText xml:space="preserve"> HYPERLINK \l "_Toc47443492" </w:instrText>
          </w:r>
          <w:r>
            <w:fldChar w:fldCharType="separate"/>
          </w:r>
          <w:r>
            <w:rPr>
              <w:rStyle w:val="8"/>
              <w:rFonts w:hint="eastAsia" w:ascii="仿宋" w:hAnsi="仿宋" w:eastAsia="仿宋"/>
              <w:sz w:val="30"/>
              <w:szCs w:val="30"/>
            </w:rPr>
            <w:t>附件</w:t>
          </w:r>
          <w:r>
            <w:rPr>
              <w:rStyle w:val="8"/>
              <w:rFonts w:ascii="仿宋" w:hAnsi="仿宋" w:eastAsia="仿宋" w:cs="Times New Roman"/>
              <w:sz w:val="30"/>
              <w:szCs w:val="30"/>
            </w:rPr>
            <w:t>1</w:t>
          </w:r>
          <w:r>
            <w:rPr>
              <w:rStyle w:val="8"/>
              <w:rFonts w:hint="eastAsia" w:ascii="仿宋" w:hAnsi="仿宋" w:eastAsia="仿宋"/>
              <w:sz w:val="30"/>
              <w:szCs w:val="30"/>
            </w:rPr>
            <w:t>企业两化融合水平评估问卷问题释疑</w:t>
          </w:r>
          <w:r>
            <w:rPr>
              <w:rFonts w:ascii="仿宋" w:hAnsi="仿宋" w:eastAsia="仿宋"/>
              <w:sz w:val="30"/>
              <w:szCs w:val="30"/>
            </w:rPr>
            <w:tab/>
          </w:r>
          <w:r>
            <w:rPr>
              <w:rFonts w:ascii="仿宋" w:hAnsi="仿宋" w:eastAsia="仿宋"/>
              <w:sz w:val="30"/>
              <w:szCs w:val="30"/>
            </w:rPr>
            <w:fldChar w:fldCharType="begin"/>
          </w:r>
          <w:r>
            <w:rPr>
              <w:rFonts w:ascii="仿宋" w:hAnsi="仿宋" w:eastAsia="仿宋"/>
              <w:sz w:val="30"/>
              <w:szCs w:val="30"/>
            </w:rPr>
            <w:instrText xml:space="preserve"> PAGEREF _Toc47443492 \h </w:instrText>
          </w:r>
          <w:r>
            <w:rPr>
              <w:rFonts w:ascii="仿宋" w:hAnsi="仿宋" w:eastAsia="仿宋"/>
              <w:sz w:val="30"/>
              <w:szCs w:val="30"/>
            </w:rPr>
            <w:fldChar w:fldCharType="separate"/>
          </w:r>
          <w:r>
            <w:rPr>
              <w:rFonts w:ascii="仿宋" w:hAnsi="仿宋" w:eastAsia="仿宋"/>
              <w:sz w:val="30"/>
              <w:szCs w:val="30"/>
            </w:rPr>
            <w:t>9</w:t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  <w:r>
            <w:rPr>
              <w:rFonts w:ascii="仿宋" w:hAnsi="仿宋" w:eastAsia="仿宋"/>
              <w:sz w:val="30"/>
              <w:szCs w:val="30"/>
            </w:rPr>
            <w:fldChar w:fldCharType="end"/>
          </w:r>
        </w:p>
        <w:p>
          <w:pPr>
            <w:spacing w:line="360" w:lineRule="auto"/>
          </w:pPr>
          <w:r>
            <w:rPr>
              <w:rFonts w:ascii="仿宋" w:hAnsi="仿宋" w:eastAsia="仿宋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p>
      <w:pPr>
        <w:pStyle w:val="9"/>
        <w:rPr>
          <w:rFonts w:ascii="微软雅黑" w:hAnsi="微软雅黑" w:eastAsia="微软雅黑"/>
          <w:b/>
          <w:sz w:val="36"/>
        </w:rPr>
      </w:pPr>
    </w:p>
    <w:p/>
    <w:p>
      <w:pPr>
        <w:widowControl/>
        <w:jc w:val="left"/>
      </w:pPr>
      <w:r>
        <w:br w:type="page"/>
      </w:r>
    </w:p>
    <w:p>
      <w:pPr>
        <w:pStyle w:val="2"/>
      </w:pPr>
      <w:bookmarkStart w:id="0" w:name="_Toc47443486"/>
      <w:r>
        <w:t>1.</w:t>
      </w:r>
      <w:r>
        <w:rPr>
          <w:rFonts w:hint="eastAsia"/>
        </w:rPr>
        <w:t>总体流程</w:t>
      </w:r>
      <w:bookmarkEnd w:id="0"/>
    </w:p>
    <w:p>
      <w:pPr>
        <w:ind w:firstLine="480" w:firstLineChars="200"/>
        <w:rPr>
          <w:rFonts w:hAnsi="Times New Roman"/>
          <w:sz w:val="24"/>
          <w:szCs w:val="23"/>
        </w:rPr>
      </w:pPr>
      <w:r>
        <w:rPr>
          <w:rFonts w:hint="eastAsia"/>
          <w:sz w:val="24"/>
          <w:szCs w:val="23"/>
        </w:rPr>
        <w:t>用户注册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登录评估系统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填写企业基本信息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填报问卷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提交问卷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生成评估报告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等待审核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审核通过</w:t>
      </w:r>
      <w:r>
        <w:rPr>
          <w:rFonts w:ascii="Times New Roman" w:hAnsi="Times New Roman" w:cs="Times New Roman"/>
          <w:sz w:val="24"/>
          <w:szCs w:val="23"/>
        </w:rPr>
        <w:t>-&gt;</w:t>
      </w:r>
      <w:r>
        <w:rPr>
          <w:rFonts w:hint="eastAsia" w:hAnsi="Times New Roman"/>
          <w:sz w:val="24"/>
          <w:szCs w:val="23"/>
        </w:rPr>
        <w:t>结束</w:t>
      </w:r>
    </w:p>
    <w:p>
      <w:pPr>
        <w:ind w:firstLine="460" w:firstLineChars="200"/>
        <w:rPr>
          <w:rFonts w:hAnsi="Times New Roman"/>
          <w:sz w:val="23"/>
          <w:szCs w:val="23"/>
        </w:rPr>
      </w:pPr>
    </w:p>
    <w:p>
      <w:pPr>
        <w:pStyle w:val="2"/>
      </w:pPr>
      <w:bookmarkStart w:id="1" w:name="_Toc47443487"/>
      <w:r>
        <w:t>2.</w:t>
      </w:r>
      <w:r>
        <w:rPr>
          <w:rFonts w:hint="eastAsia"/>
        </w:rPr>
        <w:t>注册</w:t>
      </w:r>
      <w:bookmarkEnd w:id="1"/>
    </w:p>
    <w:p>
      <w:pPr>
        <w:pStyle w:val="9"/>
        <w:rPr>
          <w:rFonts w:asciiTheme="minorEastAsia" w:hAnsiTheme="minorEastAsia"/>
          <w:szCs w:val="23"/>
        </w:rPr>
      </w:pPr>
      <w:r>
        <w:rPr>
          <w:rFonts w:hint="eastAsia" w:asciiTheme="minorEastAsia" w:hAnsiTheme="minorEastAsia"/>
          <w:szCs w:val="23"/>
        </w:rPr>
        <w:t>操作步骤：</w:t>
      </w:r>
    </w:p>
    <w:p>
      <w:pPr>
        <w:autoSpaceDE w:val="0"/>
        <w:autoSpaceDN w:val="0"/>
        <w:adjustRightInd w:val="0"/>
        <w:jc w:val="left"/>
        <w:rPr>
          <w:rFonts w:cs="仿宋_GB2312" w:asciiTheme="minorEastAsia" w:hAnsiTheme="minorEastAsia"/>
          <w:color w:val="000000"/>
          <w:kern w:val="0"/>
          <w:sz w:val="24"/>
          <w:szCs w:val="23"/>
        </w:rPr>
      </w:pP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 xml:space="preserve">a) 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浏览器地址栏输入地址：</w:t>
      </w: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>http://gxpg.cspiii.com/User/Login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，进入</w:t>
      </w: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>“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广西壮族自治区两化融合评估系统</w:t>
      </w: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>”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首页，显示如图：</w:t>
      </w:r>
    </w:p>
    <w:p>
      <w:r>
        <w:drawing>
          <wp:inline distT="0" distB="0" distL="0" distR="0">
            <wp:extent cx="5274310" cy="28536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b) 点击注册按钮，页面跳转至填写注册信息页，如图</w:t>
      </w:r>
    </w:p>
    <w:p>
      <w:r>
        <w:drawing>
          <wp:inline distT="0" distB="0" distL="0" distR="0">
            <wp:extent cx="5438775" cy="307276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3841" cy="307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c) 输入用户名、密码、邮箱 、 验证码（ 注 此处 应填写计算结果） 等必填信息</w:t>
      </w:r>
    </w:p>
    <w:p>
      <w:r>
        <w:rPr>
          <w:rFonts w:hint="eastAsia"/>
        </w:rPr>
        <w:t>点击 注册 按钮，页面跳转至 注册 成功 界面 ，如图</w:t>
      </w:r>
    </w:p>
    <w:p>
      <w:r>
        <w:drawing>
          <wp:inline distT="0" distB="0" distL="0" distR="0">
            <wp:extent cx="5274310" cy="34220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d) 注册成功后， 用户重新按照步骤 a ）操作，即可使用注册的用户名和注册时输入的密码，登录评估系统。</w:t>
      </w:r>
    </w:p>
    <w:p>
      <w:r>
        <w:rPr>
          <w:rFonts w:hint="eastAsia"/>
        </w:rPr>
        <w:t>e) 注册 成功后，系统会自动跳转到登录，进入如下界面：</w:t>
      </w:r>
    </w:p>
    <w:p>
      <w:r>
        <w:drawing>
          <wp:inline distT="0" distB="0" distL="0" distR="0">
            <wp:extent cx="5274310" cy="32797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 xml:space="preserve">f) 选择 用户类型 为 </w:t>
      </w:r>
      <w:r>
        <w:rPr>
          <w:rFonts w:hint="eastAsia"/>
          <w:b/>
        </w:rPr>
        <w:t xml:space="preserve">企业 </w:t>
      </w:r>
      <w:r>
        <w:rPr>
          <w:rFonts w:hint="eastAsia"/>
        </w:rPr>
        <w:t>点击下一步 按钮， 会出现 如下界面：</w:t>
      </w:r>
    </w:p>
    <w:p>
      <w:r>
        <w:drawing>
          <wp:inline distT="0" distB="0" distL="0" distR="0">
            <wp:extent cx="5274310" cy="31369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g) 完成企业基本信息的填写， 点击 提交按钮， 系统将弹出 服务列表，将选框内容</w:t>
      </w:r>
      <w:r>
        <w:rPr>
          <w:rFonts w:hint="eastAsia"/>
          <w:b/>
        </w:rPr>
        <w:t>全部勾选</w:t>
      </w:r>
      <w:r>
        <w:rPr>
          <w:rFonts w:hint="eastAsia"/>
        </w:rPr>
        <w:t xml:space="preserve"> ，点击确定按钮， 至此系统注册完成。</w:t>
      </w:r>
    </w:p>
    <w:p/>
    <w:p>
      <w:pPr>
        <w:pStyle w:val="2"/>
        <w:rPr>
          <w:rFonts w:ascii="仿宋_GB2312" w:eastAsia="仿宋_GB2312" w:cs="仿宋_GB2312"/>
        </w:rPr>
      </w:pPr>
      <w:bookmarkStart w:id="2" w:name="_Toc47443488"/>
      <w:r>
        <w:t xml:space="preserve">3. </w:t>
      </w:r>
      <w:r>
        <w:rPr>
          <w:rFonts w:hint="eastAsia" w:ascii="仿宋_GB2312" w:eastAsia="仿宋_GB2312" w:cs="仿宋_GB2312"/>
        </w:rPr>
        <w:t>登录</w:t>
      </w:r>
      <w:bookmarkEnd w:id="2"/>
    </w:p>
    <w:p>
      <w:pPr>
        <w:autoSpaceDE w:val="0"/>
        <w:autoSpaceDN w:val="0"/>
        <w:adjustRightInd w:val="0"/>
        <w:jc w:val="left"/>
        <w:rPr>
          <w:rFonts w:cs="仿宋_GB2312" w:asciiTheme="minorEastAsia" w:hAnsiTheme="minorEastAsia"/>
          <w:color w:val="000000"/>
          <w:kern w:val="0"/>
          <w:sz w:val="24"/>
          <w:szCs w:val="23"/>
        </w:rPr>
      </w:pP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操作步骤：</w:t>
      </w:r>
    </w:p>
    <w:p>
      <w:pPr>
        <w:autoSpaceDE w:val="0"/>
        <w:autoSpaceDN w:val="0"/>
        <w:adjustRightInd w:val="0"/>
        <w:jc w:val="left"/>
        <w:rPr>
          <w:rFonts w:cs="仿宋_GB2312" w:asciiTheme="minorEastAsia" w:hAnsiTheme="minorEastAsia"/>
          <w:color w:val="000000"/>
          <w:kern w:val="0"/>
          <w:sz w:val="24"/>
          <w:szCs w:val="23"/>
        </w:rPr>
      </w:pP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 xml:space="preserve">a) 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再次打开评估系统登录页，如图：</w:t>
      </w:r>
    </w:p>
    <w:p>
      <w:r>
        <w:drawing>
          <wp:inline distT="0" distB="0" distL="0" distR="0">
            <wp:extent cx="5274310" cy="26993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rPr>
          <w:rFonts w:hint="eastAsia"/>
        </w:rPr>
        <w:t>输入正确的用户名密码，点击登录按钮，即可成功登录两化融合评估 系统</w:t>
      </w:r>
    </w:p>
    <w:p/>
    <w:p/>
    <w:p/>
    <w:p/>
    <w:p>
      <w:pPr>
        <w:pStyle w:val="2"/>
      </w:pPr>
      <w:bookmarkStart w:id="3" w:name="_Toc47443489"/>
      <w:r>
        <w:rPr>
          <w:rFonts w:ascii="Times New Roman" w:cs="Times New Roman"/>
        </w:rPr>
        <w:t xml:space="preserve">4. </w:t>
      </w:r>
      <w:r>
        <w:rPr>
          <w:rFonts w:hint="eastAsia"/>
        </w:rPr>
        <w:t>企业基本信息</w:t>
      </w:r>
      <w:bookmarkEnd w:id="3"/>
    </w:p>
    <w:p>
      <w:pPr>
        <w:pStyle w:val="2"/>
      </w:pPr>
      <w:bookmarkStart w:id="4" w:name="_Toc47443490"/>
      <w:r>
        <w:rPr>
          <w:rFonts w:cs="Times New Roman"/>
        </w:rPr>
        <w:t xml:space="preserve">4.1 </w:t>
      </w:r>
      <w:r>
        <w:rPr>
          <w:rFonts w:hint="eastAsia"/>
        </w:rPr>
        <w:t>首次登入评估系统</w:t>
      </w:r>
      <w:bookmarkEnd w:id="4"/>
    </w:p>
    <w:p>
      <w:pPr>
        <w:rPr>
          <w:rFonts w:cs="仿宋_GB2312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操作步骤：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a) 企业用户首次登录评估系统， 如图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632075"/>
            <wp:effectExtent l="0" t="0" r="2540" b="0"/>
            <wp:docPr id="9" name="图片 9" descr="C:\Users\luoke\AppData\Local\Temp\1596521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uoke\AppData\Local\Temp\159652163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</w:rPr>
        <w:t>说明：首次进入评估系统时，用户必须先完成企业基本信息的填写，系统将依据您填写的信息分配合适的两化融合评估问卷。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b) 填写企业基本信息（有红色星号的是必填项），填写完毕后，点击 提交 按钮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31510" cy="3061970"/>
            <wp:effectExtent l="0" t="0" r="2540" b="5080"/>
            <wp:docPr id="10" name="图片 10" descr="C:\Users\luoke\AppData\Local\Temp\15965216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uoke\AppData\Local\Temp\159652166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272" cy="30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c) 提交企业信息后，页面跳转至首页， 如图：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0040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47443491"/>
      <w:r>
        <w:rPr>
          <w:rFonts w:ascii="Times New Roman" w:cs="Times New Roman"/>
        </w:rPr>
        <w:t xml:space="preserve">4.2 </w:t>
      </w:r>
      <w:r>
        <w:rPr>
          <w:rFonts w:hint="eastAsia"/>
        </w:rPr>
        <w:t>填写问卷</w:t>
      </w:r>
      <w:bookmarkEnd w:id="5"/>
    </w:p>
    <w:p>
      <w:pPr>
        <w:autoSpaceDE w:val="0"/>
        <w:autoSpaceDN w:val="0"/>
        <w:adjustRightInd w:val="0"/>
        <w:jc w:val="left"/>
        <w:rPr>
          <w:rFonts w:cs="仿宋_GB2312" w:asciiTheme="minorEastAsia" w:hAnsiTheme="minorEastAsia"/>
          <w:color w:val="000000"/>
          <w:kern w:val="0"/>
          <w:sz w:val="24"/>
          <w:szCs w:val="23"/>
        </w:rPr>
      </w:pP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 xml:space="preserve">a) 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点击左侧导航</w:t>
      </w: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>[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上报</w:t>
      </w: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>/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修改数据</w:t>
      </w:r>
      <w:r>
        <w:rPr>
          <w:rFonts w:cs="Times New Roman" w:asciiTheme="minorEastAsia" w:hAnsiTheme="minorEastAsia"/>
          <w:color w:val="000000"/>
          <w:kern w:val="0"/>
          <w:sz w:val="24"/>
          <w:szCs w:val="23"/>
        </w:rPr>
        <w:t>]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3"/>
        </w:rPr>
        <w:t>按钮，再点击要填报的问卷标题，进入问卷填写页，如图：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18802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问卷信息填报页：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9845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cs="仿宋_GB2312" w:asciiTheme="minorEastAsia" w:hAnsiTheme="minorEastAsia"/>
          <w:color w:val="000000"/>
          <w:kern w:val="0"/>
          <w:sz w:val="24"/>
          <w:szCs w:val="24"/>
        </w:rPr>
      </w:pP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 xml:space="preserve">b) 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点击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[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保存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]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或者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[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下一页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]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按钮，可成功保存当前页面填写的信息，点击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[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下一页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]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按钮进行翻页答题，全部答题完毕后，可以在问卷的最后一页（附加题部分）看到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[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提交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]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按钮，点击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[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提交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]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按钮完成问卷填报工作。</w:t>
      </w:r>
    </w:p>
    <w:p>
      <w:pPr>
        <w:ind w:firstLine="462" w:firstLineChars="200"/>
        <w:rPr>
          <w:b/>
          <w:color w:val="FF0000"/>
          <w:sz w:val="23"/>
          <w:szCs w:val="23"/>
        </w:rPr>
      </w:pPr>
      <w:r>
        <w:rPr>
          <w:rFonts w:hint="eastAsia"/>
          <w:b/>
          <w:color w:val="FF0000"/>
          <w:sz w:val="23"/>
          <w:szCs w:val="23"/>
        </w:rPr>
        <w:t>说明：问卷中的所有问题都是必答题，只有完成全部题目的填写后才能提交，否则提交时系统会提示漏答题的题号。</w:t>
      </w:r>
    </w:p>
    <w:p>
      <w:pPr>
        <w:autoSpaceDE w:val="0"/>
        <w:autoSpaceDN w:val="0"/>
        <w:adjustRightInd w:val="0"/>
        <w:jc w:val="left"/>
        <w:rPr>
          <w:rFonts w:cs="仿宋_GB2312" w:asciiTheme="minorEastAsia" w:hAnsiTheme="minorEastAsia"/>
          <w:color w:val="000000"/>
          <w:kern w:val="0"/>
          <w:sz w:val="24"/>
          <w:szCs w:val="24"/>
        </w:rPr>
      </w:pPr>
      <w:r>
        <w:rPr>
          <w:rFonts w:cs="仿宋_GB2312" w:asciiTheme="minorEastAsia" w:hAnsiTheme="minorEastAsia"/>
          <w:color w:val="000000"/>
          <w:kern w:val="0"/>
          <w:sz w:val="24"/>
          <w:szCs w:val="24"/>
        </w:rPr>
        <w:t xml:space="preserve">c) 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问卷提交成功后，系统会自动生成贵企业的两化融合评估报告，用户可以在线阅读报告，还可以通过点击导出按钮，将评估报告导出（导出文件为</w:t>
      </w:r>
      <w:r>
        <w:rPr>
          <w:rFonts w:cs="仿宋_GB2312" w:asciiTheme="minorEastAsia" w:hAnsiTheme="minorEastAsia"/>
          <w:color w:val="000000"/>
          <w:kern w:val="0"/>
          <w:sz w:val="24"/>
          <w:szCs w:val="24"/>
        </w:rPr>
        <w:t>pdf</w:t>
      </w: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格式）。</w:t>
      </w:r>
    </w:p>
    <w:p>
      <w:pPr>
        <w:autoSpaceDE w:val="0"/>
        <w:autoSpaceDN w:val="0"/>
        <w:adjustRightInd w:val="0"/>
        <w:jc w:val="left"/>
        <w:rPr>
          <w:rFonts w:cs="仿宋_GB2312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cs="仿宋_GB2312" w:asciiTheme="minorEastAsia" w:hAnsiTheme="minorEastAsia"/>
          <w:color w:val="000000"/>
          <w:kern w:val="0"/>
          <w:sz w:val="24"/>
          <w:szCs w:val="24"/>
        </w:rPr>
        <w:t>说明：</w:t>
      </w:r>
    </w:p>
    <w:p>
      <w:pPr>
        <w:autoSpaceDE w:val="0"/>
        <w:autoSpaceDN w:val="0"/>
        <w:adjustRightInd w:val="0"/>
        <w:ind w:firstLine="231" w:firstLineChars="100"/>
        <w:jc w:val="left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1.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答题过程中，未点击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[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提交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]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按钮，该问卷状态为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[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暂存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]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状态，重新登录后可以继续答题；</w:t>
      </w:r>
    </w:p>
    <w:p>
      <w:pPr>
        <w:autoSpaceDE w:val="0"/>
        <w:autoSpaceDN w:val="0"/>
        <w:adjustRightInd w:val="0"/>
        <w:ind w:firstLine="231" w:firstLineChars="100"/>
        <w:jc w:val="left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2.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若已成功提交，问卷状态为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[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待审核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]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状态，管理员会在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7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天内完成审核，用户可在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7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天后登录系统，确认是否审核通过，待审核状态的问卷不能修改，只允许浏览；</w:t>
      </w:r>
    </w:p>
    <w:p>
      <w:pPr>
        <w:autoSpaceDE w:val="0"/>
        <w:autoSpaceDN w:val="0"/>
        <w:adjustRightInd w:val="0"/>
        <w:ind w:firstLine="231" w:firstLineChars="100"/>
        <w:jc w:val="left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3.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管理员通过问卷审核后，该问卷状态变为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[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审核通过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]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，贵企业的评估工作已结束；</w:t>
      </w: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4.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管理员驳回问卷后，该问卷状态为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[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审核驳回</w:t>
      </w:r>
      <w:r>
        <w:rPr>
          <w:rFonts w:ascii="Times New Roman" w:hAnsi="Times New Roman" w:eastAsia="仿宋_GB2312" w:cs="Times New Roman"/>
          <w:b/>
          <w:color w:val="FF0000"/>
          <w:kern w:val="0"/>
          <w:sz w:val="23"/>
          <w:szCs w:val="23"/>
        </w:rPr>
        <w:t>]</w:t>
      </w:r>
      <w:r>
        <w:rPr>
          <w:rFonts w:hint="eastAsia" w:ascii="仿宋_GB2312" w:hAnsi="Times New Roman" w:eastAsia="仿宋_GB2312" w:cs="仿宋_GB2312"/>
          <w:b/>
          <w:color w:val="FF0000"/>
          <w:kern w:val="0"/>
          <w:sz w:val="23"/>
          <w:szCs w:val="23"/>
        </w:rPr>
        <w:t>，用户须重新答题和提交问卷。</w:t>
      </w: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ind w:firstLine="231" w:firstLineChars="100"/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rPr>
          <w:rFonts w:ascii="仿宋_GB2312" w:hAnsi="Times New Roman" w:eastAsia="仿宋_GB2312" w:cs="仿宋_GB2312"/>
          <w:b/>
          <w:color w:val="FF0000"/>
          <w:kern w:val="0"/>
          <w:sz w:val="23"/>
          <w:szCs w:val="23"/>
        </w:rPr>
      </w:pPr>
    </w:p>
    <w:p>
      <w:pPr>
        <w:rPr>
          <w:rFonts w:hint="eastAsia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18"/>
          <w:szCs w:val="18"/>
        </w:rPr>
      </w:pPr>
    </w:p>
    <w:p>
      <w:pPr>
        <w:pStyle w:val="2"/>
        <w:rPr>
          <w:rFonts w:hint="eastAsia"/>
        </w:rPr>
      </w:pPr>
      <w:bookmarkStart w:id="6" w:name="_Toc47443492"/>
      <w:r>
        <w:rPr>
          <w:rFonts w:hint="eastAsia"/>
        </w:rPr>
        <w:t>企业两化融合水平评估问卷问题释疑</w:t>
      </w:r>
      <w:bookmarkEnd w:id="6"/>
    </w:p>
    <w:p>
      <w:pPr>
        <w:rPr>
          <w:rFonts w:hint="eastAsia"/>
        </w:rPr>
      </w:pPr>
      <w:r>
        <w:drawing>
          <wp:inline distT="0" distB="0" distL="0" distR="0">
            <wp:extent cx="8896350" cy="41967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41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9197340" cy="489585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7683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8824595" cy="42843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21866" cy="42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</w:pPr>
      <w:r>
        <w:drawing>
          <wp:inline distT="0" distB="0" distL="0" distR="0">
            <wp:extent cx="8601710" cy="4300855"/>
            <wp:effectExtent l="0" t="0" r="889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01740" cy="43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B8"/>
    <w:rsid w:val="00014128"/>
    <w:rsid w:val="00070140"/>
    <w:rsid w:val="00191779"/>
    <w:rsid w:val="0029568D"/>
    <w:rsid w:val="003A39E6"/>
    <w:rsid w:val="004069B8"/>
    <w:rsid w:val="005A29D7"/>
    <w:rsid w:val="006072E3"/>
    <w:rsid w:val="007E1C2C"/>
    <w:rsid w:val="00800415"/>
    <w:rsid w:val="00CA68DD"/>
    <w:rsid w:val="00D406F7"/>
    <w:rsid w:val="13FA0B41"/>
    <w:rsid w:val="27A60766"/>
    <w:rsid w:val="5992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rFonts w:eastAsia="仿宋"/>
      <w:b/>
      <w:bCs/>
      <w:kern w:val="44"/>
      <w:sz w:val="32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toc 1"/>
    <w:basedOn w:val="1"/>
    <w:next w:val="1"/>
    <w:unhideWhenUsed/>
    <w:uiPriority w:val="39"/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Default"/>
    <w:uiPriority w:val="0"/>
    <w:pPr>
      <w:widowControl w:val="0"/>
      <w:autoSpaceDE w:val="0"/>
      <w:autoSpaceDN w:val="0"/>
      <w:adjustRightInd w:val="0"/>
    </w:pPr>
    <w:rPr>
      <w:rFonts w:ascii="仿宋_GB2312" w:hAnsi="仿宋_GB2312" w:cs="仿宋_GB2312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0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uiPriority w:val="9"/>
    <w:rPr>
      <w:rFonts w:eastAsia="仿宋"/>
      <w:b/>
      <w:bCs/>
      <w:kern w:val="44"/>
      <w:sz w:val="32"/>
      <w:szCs w:val="44"/>
    </w:rPr>
  </w:style>
  <w:style w:type="paragraph" w:customStyle="1" w:styleId="12">
    <w:name w:val="TOC Heading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7CAA2C-B52B-4EDD-AB78-DD576A1345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278</Words>
  <Characters>1590</Characters>
  <Lines>13</Lines>
  <Paragraphs>3</Paragraphs>
  <TotalTime>41</TotalTime>
  <ScaleCrop>false</ScaleCrop>
  <LinksUpToDate>false</LinksUpToDate>
  <CharactersWithSpaces>1865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2020-08-04T05:56:00Z</dcterms:created>
  <dc:creator>luoke</dc:creator>
  <cp:lastModifiedBy>小叶(*^o^*)</cp:lastModifiedBy>
  <cp:lastPrinted>2020-08-04T06:34:00Z</cp:lastPrinted>
  <dcterms:modified xsi:type="dcterms:W3CDTF">2020-08-31T01:17:54Z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